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018" w:rsidRDefault="00DD7018" w:rsidP="002A4D11">
      <w:pPr>
        <w:jc w:val="right"/>
        <w:rPr>
          <w:rFonts w:ascii="Calibri" w:hAnsi="Calibri"/>
          <w:sz w:val="22"/>
          <w:szCs w:val="22"/>
        </w:rPr>
      </w:pPr>
      <w:bookmarkStart w:id="0" w:name="_GoBack"/>
      <w:bookmarkEnd w:id="0"/>
    </w:p>
    <w:p w:rsidR="00627DED" w:rsidRPr="00F91B29" w:rsidRDefault="005E2A87" w:rsidP="002A4D11">
      <w:pPr>
        <w:jc w:val="right"/>
        <w:rPr>
          <w:rFonts w:ascii="Calibri" w:hAnsi="Calibri"/>
          <w:sz w:val="22"/>
          <w:szCs w:val="22"/>
        </w:rPr>
      </w:pPr>
      <w:r>
        <w:rPr>
          <w:noProof/>
          <w:lang w:eastAsia="en-IE"/>
        </w:rPr>
        <w:drawing>
          <wp:anchor distT="0" distB="0" distL="114300" distR="114300" simplePos="0" relativeHeight="251657728" behindDoc="0" locked="0" layoutInCell="1" allowOverlap="1">
            <wp:simplePos x="0" y="0"/>
            <wp:positionH relativeFrom="column">
              <wp:posOffset>-859790</wp:posOffset>
            </wp:positionH>
            <wp:positionV relativeFrom="paragraph">
              <wp:posOffset>-440055</wp:posOffset>
            </wp:positionV>
            <wp:extent cx="1562100" cy="1057275"/>
            <wp:effectExtent l="0" t="0" r="0" b="0"/>
            <wp:wrapSquare wrapText="bothSides"/>
            <wp:docPr id="3" name="Picture 3" descr="CLRG 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RG logo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057275"/>
                    </a:xfrm>
                    <a:prstGeom prst="rect">
                      <a:avLst/>
                    </a:prstGeom>
                    <a:noFill/>
                  </pic:spPr>
                </pic:pic>
              </a:graphicData>
            </a:graphic>
            <wp14:sizeRelH relativeFrom="page">
              <wp14:pctWidth>0</wp14:pctWidth>
            </wp14:sizeRelH>
            <wp14:sizeRelV relativeFrom="page">
              <wp14:pctHeight>0</wp14:pctHeight>
            </wp14:sizeRelV>
          </wp:anchor>
        </w:drawing>
      </w:r>
    </w:p>
    <w:p w:rsidR="00627DED" w:rsidRPr="000F343F" w:rsidRDefault="00724D39" w:rsidP="000B3823">
      <w:pPr>
        <w:jc w:val="center"/>
        <w:rPr>
          <w:rFonts w:asciiTheme="minorHAnsi" w:hAnsiTheme="minorHAnsi" w:cstheme="minorHAnsi"/>
          <w:b/>
          <w:bCs/>
          <w:sz w:val="28"/>
          <w:szCs w:val="28"/>
        </w:rPr>
      </w:pPr>
      <w:r w:rsidRPr="000F343F">
        <w:rPr>
          <w:rFonts w:asciiTheme="minorHAnsi" w:hAnsiTheme="minorHAnsi" w:cstheme="minorHAnsi"/>
          <w:b/>
          <w:bCs/>
          <w:sz w:val="28"/>
          <w:szCs w:val="28"/>
        </w:rPr>
        <w:t>8</w:t>
      </w:r>
      <w:r w:rsidR="00590AF6" w:rsidRPr="000F343F">
        <w:rPr>
          <w:rFonts w:asciiTheme="minorHAnsi" w:hAnsiTheme="minorHAnsi" w:cstheme="minorHAnsi"/>
          <w:b/>
          <w:bCs/>
          <w:sz w:val="28"/>
          <w:szCs w:val="28"/>
        </w:rPr>
        <w:t>7</w:t>
      </w:r>
      <w:r w:rsidR="006C7A8E" w:rsidRPr="000F343F">
        <w:rPr>
          <w:rFonts w:asciiTheme="minorHAnsi" w:hAnsiTheme="minorHAnsi" w:cstheme="minorHAnsi"/>
          <w:b/>
          <w:bCs/>
          <w:sz w:val="28"/>
          <w:szCs w:val="28"/>
        </w:rPr>
        <w:t>th</w:t>
      </w:r>
      <w:r w:rsidR="00647C7B" w:rsidRPr="000F343F">
        <w:rPr>
          <w:rFonts w:asciiTheme="minorHAnsi" w:hAnsiTheme="minorHAnsi" w:cstheme="minorHAnsi"/>
          <w:b/>
          <w:bCs/>
          <w:sz w:val="28"/>
          <w:szCs w:val="28"/>
        </w:rPr>
        <w:t xml:space="preserve"> </w:t>
      </w:r>
      <w:r w:rsidR="00627DED" w:rsidRPr="000F343F">
        <w:rPr>
          <w:rFonts w:asciiTheme="minorHAnsi" w:hAnsiTheme="minorHAnsi" w:cstheme="minorHAnsi"/>
          <w:b/>
          <w:bCs/>
          <w:sz w:val="28"/>
          <w:szCs w:val="28"/>
        </w:rPr>
        <w:t>Plenary Meeting of the C</w:t>
      </w:r>
      <w:r w:rsidR="002A4D11" w:rsidRPr="000F343F">
        <w:rPr>
          <w:rFonts w:asciiTheme="minorHAnsi" w:hAnsiTheme="minorHAnsi" w:cstheme="minorHAnsi"/>
          <w:b/>
          <w:bCs/>
          <w:sz w:val="28"/>
          <w:szCs w:val="28"/>
        </w:rPr>
        <w:t>ompany Law Review Group</w:t>
      </w:r>
    </w:p>
    <w:p w:rsidR="002E2645" w:rsidRPr="000F343F" w:rsidRDefault="002E2645">
      <w:pPr>
        <w:rPr>
          <w:rFonts w:asciiTheme="minorHAnsi" w:hAnsiTheme="minorHAnsi" w:cstheme="minorHAnsi"/>
          <w:sz w:val="22"/>
          <w:szCs w:val="22"/>
        </w:rPr>
      </w:pPr>
    </w:p>
    <w:tbl>
      <w:tblPr>
        <w:tblpPr w:leftFromText="180" w:rightFromText="180" w:vertAnchor="text" w:horzAnchor="margin" w:tblpXSpec="right" w:tblpY="-22"/>
        <w:tblW w:w="0" w:type="auto"/>
        <w:tblLook w:val="04A0" w:firstRow="1" w:lastRow="0" w:firstColumn="1" w:lastColumn="0" w:noHBand="0" w:noVBand="1"/>
      </w:tblPr>
      <w:tblGrid>
        <w:gridCol w:w="865"/>
        <w:gridCol w:w="4913"/>
      </w:tblGrid>
      <w:tr w:rsidR="002E2645" w:rsidRPr="000F343F" w:rsidTr="002E2645">
        <w:tc>
          <w:tcPr>
            <w:tcW w:w="865" w:type="dxa"/>
            <w:shd w:val="clear" w:color="auto" w:fill="auto"/>
          </w:tcPr>
          <w:p w:rsidR="006C7A8E" w:rsidRPr="000F343F" w:rsidRDefault="006C7A8E" w:rsidP="002E2645">
            <w:pPr>
              <w:jc w:val="both"/>
              <w:rPr>
                <w:rFonts w:asciiTheme="minorHAnsi" w:hAnsiTheme="minorHAnsi" w:cstheme="minorHAnsi"/>
                <w:b/>
                <w:bCs/>
                <w:sz w:val="22"/>
                <w:szCs w:val="22"/>
              </w:rPr>
            </w:pPr>
          </w:p>
          <w:p w:rsidR="002E2645" w:rsidRPr="000F343F" w:rsidRDefault="002E2645" w:rsidP="002E2645">
            <w:pPr>
              <w:jc w:val="both"/>
              <w:rPr>
                <w:rFonts w:asciiTheme="minorHAnsi" w:hAnsiTheme="minorHAnsi" w:cstheme="minorHAnsi"/>
                <w:sz w:val="22"/>
                <w:szCs w:val="22"/>
              </w:rPr>
            </w:pPr>
            <w:r w:rsidRPr="000F343F">
              <w:rPr>
                <w:rFonts w:asciiTheme="minorHAnsi" w:hAnsiTheme="minorHAnsi" w:cstheme="minorHAnsi"/>
                <w:b/>
                <w:bCs/>
                <w:sz w:val="22"/>
                <w:szCs w:val="22"/>
              </w:rPr>
              <w:t>Date:</w:t>
            </w:r>
            <w:r w:rsidRPr="000F343F">
              <w:rPr>
                <w:rFonts w:asciiTheme="minorHAnsi" w:hAnsiTheme="minorHAnsi" w:cstheme="minorHAnsi"/>
                <w:sz w:val="22"/>
                <w:szCs w:val="22"/>
              </w:rPr>
              <w:tab/>
            </w:r>
          </w:p>
        </w:tc>
        <w:tc>
          <w:tcPr>
            <w:tcW w:w="4913" w:type="dxa"/>
            <w:shd w:val="clear" w:color="auto" w:fill="auto"/>
          </w:tcPr>
          <w:p w:rsidR="006C7A8E" w:rsidRPr="000F343F" w:rsidRDefault="006C7A8E" w:rsidP="001477B0">
            <w:pPr>
              <w:jc w:val="both"/>
              <w:rPr>
                <w:rFonts w:asciiTheme="minorHAnsi" w:hAnsiTheme="minorHAnsi" w:cstheme="minorHAnsi"/>
                <w:sz w:val="22"/>
                <w:szCs w:val="22"/>
              </w:rPr>
            </w:pPr>
          </w:p>
          <w:p w:rsidR="002E2645" w:rsidRPr="000F343F" w:rsidRDefault="00A63282" w:rsidP="001477B0">
            <w:pPr>
              <w:jc w:val="both"/>
              <w:rPr>
                <w:rFonts w:asciiTheme="minorHAnsi" w:hAnsiTheme="minorHAnsi" w:cstheme="minorHAnsi"/>
                <w:sz w:val="22"/>
                <w:szCs w:val="22"/>
              </w:rPr>
            </w:pPr>
            <w:r w:rsidRPr="000F343F">
              <w:rPr>
                <w:rFonts w:asciiTheme="minorHAnsi" w:hAnsiTheme="minorHAnsi" w:cstheme="minorHAnsi"/>
                <w:sz w:val="22"/>
                <w:szCs w:val="22"/>
              </w:rPr>
              <w:t>2</w:t>
            </w:r>
            <w:r w:rsidRPr="000F343F">
              <w:rPr>
                <w:rFonts w:asciiTheme="minorHAnsi" w:hAnsiTheme="minorHAnsi" w:cstheme="minorHAnsi"/>
                <w:sz w:val="22"/>
                <w:szCs w:val="22"/>
                <w:vertAlign w:val="superscript"/>
              </w:rPr>
              <w:t>nd</w:t>
            </w:r>
            <w:r w:rsidRPr="000F343F">
              <w:rPr>
                <w:rFonts w:asciiTheme="minorHAnsi" w:hAnsiTheme="minorHAnsi" w:cstheme="minorHAnsi"/>
                <w:sz w:val="22"/>
                <w:szCs w:val="22"/>
              </w:rPr>
              <w:t xml:space="preserve"> December</w:t>
            </w:r>
            <w:r w:rsidR="00C66BDE" w:rsidRPr="000F343F">
              <w:rPr>
                <w:rFonts w:asciiTheme="minorHAnsi" w:hAnsiTheme="minorHAnsi" w:cstheme="minorHAnsi"/>
                <w:sz w:val="22"/>
                <w:szCs w:val="22"/>
              </w:rPr>
              <w:t xml:space="preserve"> </w:t>
            </w:r>
            <w:r w:rsidR="00222CAE" w:rsidRPr="000F343F">
              <w:rPr>
                <w:rFonts w:asciiTheme="minorHAnsi" w:hAnsiTheme="minorHAnsi" w:cstheme="minorHAnsi"/>
                <w:sz w:val="22"/>
                <w:szCs w:val="22"/>
              </w:rPr>
              <w:t>2019</w:t>
            </w:r>
          </w:p>
        </w:tc>
      </w:tr>
      <w:tr w:rsidR="002E2645" w:rsidRPr="000F343F" w:rsidTr="002E2645">
        <w:tc>
          <w:tcPr>
            <w:tcW w:w="865" w:type="dxa"/>
            <w:shd w:val="clear" w:color="auto" w:fill="auto"/>
          </w:tcPr>
          <w:p w:rsidR="002E2645" w:rsidRPr="000F343F" w:rsidRDefault="002E2645" w:rsidP="002E2645">
            <w:pPr>
              <w:jc w:val="both"/>
              <w:rPr>
                <w:rFonts w:asciiTheme="minorHAnsi" w:hAnsiTheme="minorHAnsi" w:cstheme="minorHAnsi"/>
                <w:sz w:val="22"/>
                <w:szCs w:val="22"/>
              </w:rPr>
            </w:pPr>
            <w:r w:rsidRPr="000F343F">
              <w:rPr>
                <w:rFonts w:asciiTheme="minorHAnsi" w:hAnsiTheme="minorHAnsi" w:cstheme="minorHAnsi"/>
                <w:b/>
                <w:bCs/>
                <w:sz w:val="22"/>
                <w:szCs w:val="22"/>
              </w:rPr>
              <w:t>Time:</w:t>
            </w:r>
            <w:r w:rsidRPr="000F343F">
              <w:rPr>
                <w:rFonts w:asciiTheme="minorHAnsi" w:hAnsiTheme="minorHAnsi" w:cstheme="minorHAnsi"/>
                <w:sz w:val="22"/>
                <w:szCs w:val="22"/>
              </w:rPr>
              <w:tab/>
            </w:r>
          </w:p>
        </w:tc>
        <w:tc>
          <w:tcPr>
            <w:tcW w:w="4913" w:type="dxa"/>
            <w:shd w:val="clear" w:color="auto" w:fill="auto"/>
          </w:tcPr>
          <w:p w:rsidR="002E2645" w:rsidRPr="000F343F" w:rsidRDefault="002E2B19" w:rsidP="002E2645">
            <w:pPr>
              <w:jc w:val="both"/>
              <w:rPr>
                <w:rFonts w:asciiTheme="minorHAnsi" w:hAnsiTheme="minorHAnsi" w:cstheme="minorHAnsi"/>
                <w:sz w:val="22"/>
                <w:szCs w:val="22"/>
              </w:rPr>
            </w:pPr>
            <w:r w:rsidRPr="000F343F">
              <w:rPr>
                <w:rFonts w:asciiTheme="minorHAnsi" w:hAnsiTheme="minorHAnsi" w:cstheme="minorHAnsi"/>
                <w:sz w:val="22"/>
                <w:szCs w:val="22"/>
              </w:rPr>
              <w:t>11:00</w:t>
            </w:r>
            <w:r w:rsidR="00A47E61" w:rsidRPr="000F343F">
              <w:rPr>
                <w:rFonts w:asciiTheme="minorHAnsi" w:hAnsiTheme="minorHAnsi" w:cstheme="minorHAnsi"/>
                <w:sz w:val="22"/>
                <w:szCs w:val="22"/>
              </w:rPr>
              <w:t>am</w:t>
            </w:r>
            <w:r w:rsidR="006C7A8E" w:rsidRPr="000F343F">
              <w:rPr>
                <w:rFonts w:asciiTheme="minorHAnsi" w:hAnsiTheme="minorHAnsi" w:cstheme="minorHAnsi"/>
                <w:sz w:val="22"/>
                <w:szCs w:val="22"/>
              </w:rPr>
              <w:t xml:space="preserve"> – 12:0</w:t>
            </w:r>
            <w:r w:rsidR="002E2645" w:rsidRPr="000F343F">
              <w:rPr>
                <w:rFonts w:asciiTheme="minorHAnsi" w:hAnsiTheme="minorHAnsi" w:cstheme="minorHAnsi"/>
                <w:sz w:val="22"/>
                <w:szCs w:val="22"/>
              </w:rPr>
              <w:t>0</w:t>
            </w:r>
            <w:r w:rsidR="006C7A8E" w:rsidRPr="000F343F">
              <w:rPr>
                <w:rFonts w:asciiTheme="minorHAnsi" w:hAnsiTheme="minorHAnsi" w:cstheme="minorHAnsi"/>
                <w:sz w:val="22"/>
                <w:szCs w:val="22"/>
              </w:rPr>
              <w:t>p</w:t>
            </w:r>
            <w:r w:rsidR="00A47E61" w:rsidRPr="000F343F">
              <w:rPr>
                <w:rFonts w:asciiTheme="minorHAnsi" w:hAnsiTheme="minorHAnsi" w:cstheme="minorHAnsi"/>
                <w:sz w:val="22"/>
                <w:szCs w:val="22"/>
              </w:rPr>
              <w:t>m</w:t>
            </w:r>
          </w:p>
        </w:tc>
      </w:tr>
      <w:tr w:rsidR="002E2645" w:rsidRPr="000F343F" w:rsidTr="002E2645">
        <w:tc>
          <w:tcPr>
            <w:tcW w:w="865" w:type="dxa"/>
            <w:shd w:val="clear" w:color="auto" w:fill="auto"/>
          </w:tcPr>
          <w:p w:rsidR="002E2645" w:rsidRPr="000F343F" w:rsidRDefault="002E2645" w:rsidP="002E2645">
            <w:pPr>
              <w:jc w:val="both"/>
              <w:rPr>
                <w:rFonts w:asciiTheme="minorHAnsi" w:hAnsiTheme="minorHAnsi" w:cstheme="minorHAnsi"/>
                <w:sz w:val="22"/>
                <w:szCs w:val="22"/>
              </w:rPr>
            </w:pPr>
            <w:r w:rsidRPr="000F343F">
              <w:rPr>
                <w:rFonts w:asciiTheme="minorHAnsi" w:hAnsiTheme="minorHAnsi" w:cstheme="minorHAnsi"/>
                <w:b/>
                <w:bCs/>
                <w:sz w:val="22"/>
                <w:szCs w:val="22"/>
                <w:lang w:val="en-GB"/>
              </w:rPr>
              <w:t>Venue:</w:t>
            </w:r>
            <w:r w:rsidRPr="000F343F">
              <w:rPr>
                <w:rFonts w:asciiTheme="minorHAnsi" w:hAnsiTheme="minorHAnsi" w:cstheme="minorHAnsi"/>
                <w:sz w:val="22"/>
                <w:szCs w:val="22"/>
                <w:lang w:val="en-GB"/>
              </w:rPr>
              <w:tab/>
            </w:r>
          </w:p>
        </w:tc>
        <w:tc>
          <w:tcPr>
            <w:tcW w:w="4913" w:type="dxa"/>
            <w:shd w:val="clear" w:color="auto" w:fill="auto"/>
          </w:tcPr>
          <w:p w:rsidR="002E2645" w:rsidRPr="000F343F" w:rsidRDefault="00590AF6" w:rsidP="002E2645">
            <w:pPr>
              <w:jc w:val="both"/>
              <w:rPr>
                <w:rFonts w:asciiTheme="minorHAnsi" w:hAnsiTheme="minorHAnsi" w:cstheme="minorHAnsi"/>
                <w:sz w:val="22"/>
                <w:szCs w:val="22"/>
              </w:rPr>
            </w:pPr>
            <w:r w:rsidRPr="000F343F">
              <w:rPr>
                <w:rFonts w:asciiTheme="minorHAnsi" w:hAnsiTheme="minorHAnsi" w:cstheme="minorHAnsi"/>
                <w:sz w:val="22"/>
                <w:szCs w:val="22"/>
              </w:rPr>
              <w:t>Room 110</w:t>
            </w:r>
            <w:r w:rsidR="002E2645" w:rsidRPr="000F343F">
              <w:rPr>
                <w:rFonts w:asciiTheme="minorHAnsi" w:hAnsiTheme="minorHAnsi" w:cstheme="minorHAnsi"/>
                <w:sz w:val="22"/>
                <w:szCs w:val="22"/>
              </w:rPr>
              <w:t>,</w:t>
            </w:r>
            <w:r w:rsidRPr="000F343F">
              <w:rPr>
                <w:rFonts w:asciiTheme="minorHAnsi" w:hAnsiTheme="minorHAnsi" w:cstheme="minorHAnsi"/>
                <w:sz w:val="22"/>
                <w:szCs w:val="22"/>
              </w:rPr>
              <w:t xml:space="preserve"> Department of Business, Enterprise and Innovation,</w:t>
            </w:r>
            <w:r w:rsidR="002E2645" w:rsidRPr="000F343F">
              <w:rPr>
                <w:rFonts w:asciiTheme="minorHAnsi" w:hAnsiTheme="minorHAnsi" w:cstheme="minorHAnsi"/>
                <w:sz w:val="22"/>
                <w:szCs w:val="22"/>
              </w:rPr>
              <w:t xml:space="preserve"> Kildare Street, Dublin 2.</w:t>
            </w:r>
          </w:p>
          <w:p w:rsidR="006C7A8E" w:rsidRPr="000F343F" w:rsidRDefault="006C7A8E" w:rsidP="002E2645">
            <w:pPr>
              <w:jc w:val="both"/>
              <w:rPr>
                <w:rFonts w:asciiTheme="minorHAnsi" w:hAnsiTheme="minorHAnsi" w:cstheme="minorHAnsi"/>
                <w:sz w:val="22"/>
                <w:szCs w:val="22"/>
              </w:rPr>
            </w:pPr>
          </w:p>
          <w:p w:rsidR="006C7A8E" w:rsidRDefault="006C7A8E" w:rsidP="002E2645">
            <w:pPr>
              <w:jc w:val="both"/>
              <w:rPr>
                <w:rFonts w:asciiTheme="minorHAnsi" w:hAnsiTheme="minorHAnsi" w:cstheme="minorHAnsi"/>
                <w:sz w:val="22"/>
                <w:szCs w:val="22"/>
              </w:rPr>
            </w:pPr>
          </w:p>
          <w:p w:rsidR="002F5A08" w:rsidRDefault="0044454B" w:rsidP="002E2645">
            <w:pPr>
              <w:jc w:val="both"/>
              <w:rPr>
                <w:rFonts w:asciiTheme="minorHAnsi" w:hAnsiTheme="minorHAnsi" w:cstheme="minorHAnsi"/>
                <w:sz w:val="22"/>
                <w:szCs w:val="22"/>
              </w:rPr>
            </w:pPr>
            <w:r>
              <w:rPr>
                <w:rFonts w:asciiTheme="minorHAnsi" w:hAnsiTheme="minorHAnsi" w:cstheme="minorHAnsi"/>
                <w:sz w:val="22"/>
                <w:szCs w:val="22"/>
              </w:rPr>
              <w:t>Mr. Paul Egan (Chairperson), Barry Conway, Máire Cunningham, Helen Curley, Richard Curran, Marie Daly, Jeanette Doonan, Bernice Evoy, James Finn, Michael Halpenny, Tanya Holly, John Loughlin, Irene Lynch-Fannon, Ralph MacDarby, Kathryn Maybury, Neil McDonnell, Salvador Nash, Gillian O’Shaughnessy,</w:t>
            </w:r>
            <w:r w:rsidR="005812C4">
              <w:rPr>
                <w:rFonts w:asciiTheme="minorHAnsi" w:hAnsiTheme="minorHAnsi" w:cstheme="minorHAnsi"/>
                <w:sz w:val="22"/>
                <w:szCs w:val="22"/>
              </w:rPr>
              <w:t xml:space="preserve"> Maureen O’Sullivan,</w:t>
            </w:r>
            <w:r>
              <w:rPr>
                <w:rFonts w:asciiTheme="minorHAnsi" w:hAnsiTheme="minorHAnsi" w:cstheme="minorHAnsi"/>
                <w:sz w:val="22"/>
                <w:szCs w:val="22"/>
              </w:rPr>
              <w:t xml:space="preserve"> Eadaoin Rock.</w:t>
            </w:r>
          </w:p>
          <w:p w:rsidR="002F5A08" w:rsidRDefault="002F5A08" w:rsidP="002E2645">
            <w:pPr>
              <w:jc w:val="both"/>
              <w:rPr>
                <w:rFonts w:asciiTheme="minorHAnsi" w:hAnsiTheme="minorHAnsi" w:cstheme="minorHAnsi"/>
                <w:sz w:val="22"/>
                <w:szCs w:val="22"/>
              </w:rPr>
            </w:pPr>
          </w:p>
          <w:p w:rsidR="005812C4" w:rsidRDefault="005812C4" w:rsidP="002E2645">
            <w:pPr>
              <w:jc w:val="both"/>
              <w:rPr>
                <w:rFonts w:asciiTheme="minorHAnsi" w:hAnsiTheme="minorHAnsi" w:cstheme="minorHAnsi"/>
                <w:sz w:val="22"/>
                <w:szCs w:val="22"/>
              </w:rPr>
            </w:pPr>
          </w:p>
          <w:p w:rsidR="002F5A08" w:rsidRDefault="005812C4" w:rsidP="002E2645">
            <w:pPr>
              <w:jc w:val="both"/>
              <w:rPr>
                <w:rFonts w:asciiTheme="minorHAnsi" w:hAnsiTheme="minorHAnsi" w:cstheme="minorHAnsi"/>
                <w:sz w:val="22"/>
                <w:szCs w:val="22"/>
              </w:rPr>
            </w:pPr>
            <w:r>
              <w:rPr>
                <w:rFonts w:asciiTheme="minorHAnsi" w:hAnsiTheme="minorHAnsi" w:cstheme="minorHAnsi"/>
                <w:sz w:val="22"/>
                <w:szCs w:val="22"/>
              </w:rPr>
              <w:t>Tara Keane (Secretariat), Emma Geraghty (DBEI), David Hegarty (on behalf of Ian Drennan)</w:t>
            </w:r>
          </w:p>
          <w:p w:rsidR="005812C4" w:rsidRDefault="005812C4" w:rsidP="002E2645">
            <w:pPr>
              <w:jc w:val="both"/>
              <w:rPr>
                <w:rFonts w:asciiTheme="minorHAnsi" w:hAnsiTheme="minorHAnsi" w:cstheme="minorHAnsi"/>
                <w:sz w:val="22"/>
                <w:szCs w:val="22"/>
              </w:rPr>
            </w:pPr>
          </w:p>
          <w:p w:rsidR="005812C4" w:rsidRDefault="005812C4" w:rsidP="002E2645">
            <w:pPr>
              <w:jc w:val="both"/>
              <w:rPr>
                <w:rFonts w:asciiTheme="minorHAnsi" w:hAnsiTheme="minorHAnsi" w:cstheme="minorHAnsi"/>
                <w:sz w:val="22"/>
                <w:szCs w:val="22"/>
              </w:rPr>
            </w:pPr>
          </w:p>
          <w:p w:rsidR="006C7A8E" w:rsidRPr="000F343F" w:rsidRDefault="00823C29" w:rsidP="002E2645">
            <w:pPr>
              <w:jc w:val="both"/>
              <w:rPr>
                <w:rFonts w:asciiTheme="minorHAnsi" w:hAnsiTheme="minorHAnsi" w:cstheme="minorHAnsi"/>
                <w:sz w:val="22"/>
                <w:szCs w:val="22"/>
              </w:rPr>
            </w:pPr>
            <w:r>
              <w:rPr>
                <w:rFonts w:asciiTheme="minorHAnsi" w:hAnsiTheme="minorHAnsi" w:cstheme="minorHAnsi"/>
                <w:sz w:val="22"/>
                <w:szCs w:val="22"/>
              </w:rPr>
              <w:t>Barry Cahir, Emma Doherty,</w:t>
            </w:r>
            <w:r w:rsidR="0044454B">
              <w:rPr>
                <w:rFonts w:asciiTheme="minorHAnsi" w:hAnsiTheme="minorHAnsi" w:cstheme="minorHAnsi"/>
                <w:sz w:val="22"/>
                <w:szCs w:val="22"/>
              </w:rPr>
              <w:t xml:space="preserve"> Ian Drennan,</w:t>
            </w:r>
            <w:r>
              <w:rPr>
                <w:rFonts w:asciiTheme="minorHAnsi" w:hAnsiTheme="minorHAnsi" w:cstheme="minorHAnsi"/>
                <w:sz w:val="22"/>
                <w:szCs w:val="22"/>
              </w:rPr>
              <w:t xml:space="preserve"> Rosemary Hickey,</w:t>
            </w:r>
            <w:r w:rsidR="0044454B">
              <w:rPr>
                <w:rFonts w:asciiTheme="minorHAnsi" w:hAnsiTheme="minorHAnsi" w:cstheme="minorHAnsi"/>
                <w:sz w:val="22"/>
                <w:szCs w:val="22"/>
              </w:rPr>
              <w:t xml:space="preserve"> Gillian Leeson,</w:t>
            </w:r>
            <w:r>
              <w:rPr>
                <w:rFonts w:asciiTheme="minorHAnsi" w:hAnsiTheme="minorHAnsi" w:cstheme="minorHAnsi"/>
                <w:sz w:val="22"/>
                <w:szCs w:val="22"/>
              </w:rPr>
              <w:t xml:space="preserve"> Kevin Prendergast </w:t>
            </w:r>
          </w:p>
          <w:p w:rsidR="006C7A8E" w:rsidRPr="000F343F" w:rsidRDefault="006C7A8E" w:rsidP="002E2645">
            <w:pPr>
              <w:jc w:val="both"/>
              <w:rPr>
                <w:rFonts w:asciiTheme="minorHAnsi" w:hAnsiTheme="minorHAnsi" w:cstheme="minorHAnsi"/>
                <w:sz w:val="22"/>
                <w:szCs w:val="22"/>
              </w:rPr>
            </w:pPr>
          </w:p>
        </w:tc>
      </w:tr>
    </w:tbl>
    <w:p w:rsidR="002E2645" w:rsidRPr="000F343F" w:rsidRDefault="002E2645">
      <w:pPr>
        <w:rPr>
          <w:rFonts w:asciiTheme="minorHAnsi" w:hAnsiTheme="minorHAnsi" w:cstheme="minorHAnsi"/>
          <w:sz w:val="22"/>
          <w:szCs w:val="22"/>
        </w:rPr>
      </w:pPr>
    </w:p>
    <w:p w:rsidR="002E2645" w:rsidRPr="000F343F" w:rsidRDefault="002E2645">
      <w:pPr>
        <w:rPr>
          <w:rFonts w:asciiTheme="minorHAnsi" w:hAnsiTheme="minorHAnsi" w:cstheme="minorHAnsi"/>
          <w:sz w:val="22"/>
          <w:szCs w:val="22"/>
        </w:rPr>
      </w:pPr>
    </w:p>
    <w:p w:rsidR="002E2645" w:rsidRPr="000F343F" w:rsidRDefault="002E2645">
      <w:pPr>
        <w:rPr>
          <w:rFonts w:asciiTheme="minorHAnsi" w:hAnsiTheme="minorHAnsi" w:cstheme="minorHAnsi"/>
          <w:sz w:val="22"/>
          <w:szCs w:val="22"/>
        </w:rPr>
      </w:pPr>
    </w:p>
    <w:p w:rsidR="002E2645" w:rsidRPr="000F343F" w:rsidRDefault="002E2645">
      <w:pPr>
        <w:rPr>
          <w:rFonts w:asciiTheme="minorHAnsi" w:hAnsiTheme="minorHAnsi" w:cstheme="minorHAnsi"/>
          <w:sz w:val="22"/>
          <w:szCs w:val="22"/>
        </w:rPr>
      </w:pPr>
    </w:p>
    <w:p w:rsidR="002E2645" w:rsidRPr="000F343F" w:rsidRDefault="002E2645">
      <w:pPr>
        <w:rPr>
          <w:rFonts w:asciiTheme="minorHAnsi" w:hAnsiTheme="minorHAnsi" w:cstheme="minorHAnsi"/>
          <w:sz w:val="22"/>
          <w:szCs w:val="22"/>
        </w:rPr>
      </w:pPr>
    </w:p>
    <w:p w:rsidR="002E2645" w:rsidRPr="000F343F" w:rsidRDefault="002E2645">
      <w:pPr>
        <w:rPr>
          <w:rFonts w:asciiTheme="minorHAnsi" w:hAnsiTheme="minorHAnsi" w:cstheme="minorHAnsi"/>
          <w:sz w:val="22"/>
          <w:szCs w:val="22"/>
        </w:rPr>
      </w:pPr>
    </w:p>
    <w:p w:rsidR="00735A77" w:rsidRPr="000F343F" w:rsidRDefault="00735A77" w:rsidP="00735A77">
      <w:pPr>
        <w:rPr>
          <w:rFonts w:asciiTheme="minorHAnsi" w:hAnsiTheme="minorHAnsi" w:cstheme="minorHAnsi"/>
          <w:b/>
          <w:bCs/>
          <w:sz w:val="22"/>
          <w:szCs w:val="22"/>
        </w:rPr>
      </w:pPr>
    </w:p>
    <w:p w:rsidR="00735A77" w:rsidRDefault="00735A77" w:rsidP="00735A77">
      <w:pPr>
        <w:rPr>
          <w:rFonts w:asciiTheme="minorHAnsi" w:hAnsiTheme="minorHAnsi" w:cstheme="minorHAnsi"/>
          <w:b/>
          <w:bCs/>
          <w:sz w:val="22"/>
          <w:szCs w:val="22"/>
        </w:rPr>
      </w:pPr>
    </w:p>
    <w:p w:rsidR="001F592D" w:rsidRDefault="001F592D" w:rsidP="00735A77">
      <w:pPr>
        <w:rPr>
          <w:rFonts w:asciiTheme="minorHAnsi" w:hAnsiTheme="minorHAnsi" w:cstheme="minorHAnsi"/>
          <w:b/>
          <w:bCs/>
          <w:sz w:val="22"/>
          <w:szCs w:val="22"/>
        </w:rPr>
      </w:pPr>
    </w:p>
    <w:p w:rsidR="004C2CE1" w:rsidRDefault="004C2CE1" w:rsidP="00735A77">
      <w:pPr>
        <w:rPr>
          <w:rFonts w:asciiTheme="minorHAnsi" w:hAnsiTheme="minorHAnsi" w:cstheme="minorHAnsi"/>
          <w:b/>
          <w:bCs/>
          <w:sz w:val="22"/>
          <w:szCs w:val="22"/>
        </w:rPr>
      </w:pPr>
      <w:r>
        <w:rPr>
          <w:rFonts w:asciiTheme="minorHAnsi" w:hAnsiTheme="minorHAnsi" w:cstheme="minorHAnsi"/>
          <w:b/>
          <w:bCs/>
          <w:sz w:val="22"/>
          <w:szCs w:val="22"/>
        </w:rPr>
        <w:t>Present</w:t>
      </w:r>
      <w:r w:rsidR="00AA48E9">
        <w:rPr>
          <w:rFonts w:asciiTheme="minorHAnsi" w:hAnsiTheme="minorHAnsi" w:cstheme="minorHAnsi"/>
          <w:b/>
          <w:bCs/>
          <w:sz w:val="22"/>
          <w:szCs w:val="22"/>
        </w:rPr>
        <w:t xml:space="preserve">: </w:t>
      </w:r>
    </w:p>
    <w:p w:rsidR="004C2CE1" w:rsidRDefault="004C2CE1" w:rsidP="00735A77">
      <w:pPr>
        <w:rPr>
          <w:rFonts w:asciiTheme="minorHAnsi" w:hAnsiTheme="minorHAnsi" w:cstheme="minorHAnsi"/>
          <w:b/>
          <w:bCs/>
          <w:sz w:val="22"/>
          <w:szCs w:val="22"/>
        </w:rPr>
      </w:pPr>
    </w:p>
    <w:p w:rsidR="004C2CE1" w:rsidRDefault="004C2CE1" w:rsidP="00735A77">
      <w:pPr>
        <w:rPr>
          <w:rFonts w:asciiTheme="minorHAnsi" w:hAnsiTheme="minorHAnsi" w:cstheme="minorHAnsi"/>
          <w:b/>
          <w:bCs/>
          <w:sz w:val="22"/>
          <w:szCs w:val="22"/>
        </w:rPr>
      </w:pPr>
    </w:p>
    <w:p w:rsidR="002F5A08" w:rsidRDefault="002F5A08" w:rsidP="00735A77">
      <w:pPr>
        <w:rPr>
          <w:rFonts w:asciiTheme="minorHAnsi" w:hAnsiTheme="minorHAnsi" w:cstheme="minorHAnsi"/>
          <w:b/>
          <w:bCs/>
          <w:sz w:val="22"/>
          <w:szCs w:val="22"/>
        </w:rPr>
      </w:pPr>
    </w:p>
    <w:p w:rsidR="001F592D" w:rsidRDefault="001F592D" w:rsidP="00735A77">
      <w:pPr>
        <w:rPr>
          <w:rFonts w:asciiTheme="minorHAnsi" w:hAnsiTheme="minorHAnsi" w:cstheme="minorHAnsi"/>
          <w:b/>
          <w:bCs/>
          <w:sz w:val="22"/>
          <w:szCs w:val="22"/>
        </w:rPr>
      </w:pPr>
    </w:p>
    <w:p w:rsidR="001F592D" w:rsidRDefault="001F592D" w:rsidP="00735A77">
      <w:pPr>
        <w:rPr>
          <w:rFonts w:asciiTheme="minorHAnsi" w:hAnsiTheme="minorHAnsi" w:cstheme="minorHAnsi"/>
          <w:b/>
          <w:bCs/>
          <w:sz w:val="22"/>
          <w:szCs w:val="22"/>
        </w:rPr>
      </w:pPr>
    </w:p>
    <w:p w:rsidR="001F592D" w:rsidRDefault="001F592D" w:rsidP="00735A77">
      <w:pPr>
        <w:rPr>
          <w:rFonts w:asciiTheme="minorHAnsi" w:hAnsiTheme="minorHAnsi" w:cstheme="minorHAnsi"/>
          <w:b/>
          <w:bCs/>
          <w:sz w:val="22"/>
          <w:szCs w:val="22"/>
        </w:rPr>
      </w:pPr>
    </w:p>
    <w:p w:rsidR="001F592D" w:rsidRDefault="001F592D" w:rsidP="00735A77">
      <w:pPr>
        <w:rPr>
          <w:rFonts w:asciiTheme="minorHAnsi" w:hAnsiTheme="minorHAnsi" w:cstheme="minorHAnsi"/>
          <w:b/>
          <w:bCs/>
          <w:sz w:val="22"/>
          <w:szCs w:val="22"/>
        </w:rPr>
      </w:pPr>
    </w:p>
    <w:p w:rsidR="005812C4" w:rsidRDefault="005812C4" w:rsidP="00735A77">
      <w:pPr>
        <w:rPr>
          <w:rFonts w:asciiTheme="minorHAnsi" w:hAnsiTheme="minorHAnsi" w:cstheme="minorHAnsi"/>
          <w:b/>
          <w:bCs/>
          <w:sz w:val="22"/>
          <w:szCs w:val="22"/>
        </w:rPr>
      </w:pPr>
    </w:p>
    <w:p w:rsidR="005812C4" w:rsidRDefault="005812C4" w:rsidP="004C2CE1">
      <w:pPr>
        <w:rPr>
          <w:rFonts w:asciiTheme="minorHAnsi" w:hAnsiTheme="minorHAnsi" w:cstheme="minorHAnsi"/>
          <w:b/>
          <w:bCs/>
          <w:sz w:val="22"/>
          <w:szCs w:val="22"/>
        </w:rPr>
      </w:pPr>
      <w:r>
        <w:rPr>
          <w:rFonts w:asciiTheme="minorHAnsi" w:hAnsiTheme="minorHAnsi" w:cstheme="minorHAnsi"/>
          <w:b/>
          <w:bCs/>
          <w:sz w:val="22"/>
          <w:szCs w:val="22"/>
        </w:rPr>
        <w:t>In attendance:</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p>
    <w:p w:rsidR="005812C4" w:rsidRDefault="005812C4" w:rsidP="004C2CE1">
      <w:pPr>
        <w:rPr>
          <w:rFonts w:asciiTheme="minorHAnsi" w:hAnsiTheme="minorHAnsi" w:cstheme="minorHAnsi"/>
          <w:b/>
          <w:bCs/>
          <w:sz w:val="22"/>
          <w:szCs w:val="22"/>
        </w:rPr>
      </w:pPr>
    </w:p>
    <w:p w:rsidR="005812C4" w:rsidRDefault="005812C4" w:rsidP="004C2CE1">
      <w:pPr>
        <w:rPr>
          <w:rFonts w:asciiTheme="minorHAnsi" w:hAnsiTheme="minorHAnsi" w:cstheme="minorHAnsi"/>
          <w:b/>
          <w:bCs/>
          <w:sz w:val="22"/>
          <w:szCs w:val="22"/>
        </w:rPr>
      </w:pPr>
    </w:p>
    <w:p w:rsidR="00AA48E9" w:rsidRPr="004C2CE1" w:rsidRDefault="004C2CE1" w:rsidP="004C2CE1">
      <w:pPr>
        <w:rPr>
          <w:rFonts w:asciiTheme="minorHAnsi" w:hAnsiTheme="minorHAnsi" w:cstheme="minorHAnsi"/>
          <w:bCs/>
          <w:sz w:val="22"/>
          <w:szCs w:val="22"/>
        </w:rPr>
      </w:pPr>
      <w:r>
        <w:rPr>
          <w:rFonts w:asciiTheme="minorHAnsi" w:hAnsiTheme="minorHAnsi" w:cstheme="minorHAnsi"/>
          <w:b/>
          <w:bCs/>
          <w:sz w:val="22"/>
          <w:szCs w:val="22"/>
        </w:rPr>
        <w:t>Apologies</w:t>
      </w:r>
      <w:r w:rsidR="00AA48E9">
        <w:rPr>
          <w:rFonts w:asciiTheme="minorHAnsi" w:hAnsiTheme="minorHAnsi" w:cstheme="minorHAnsi"/>
          <w:b/>
          <w:bCs/>
          <w:sz w:val="22"/>
          <w:szCs w:val="22"/>
        </w:rPr>
        <w:t xml:space="preserve">: </w:t>
      </w:r>
      <w:r w:rsidR="00AA48E9">
        <w:rPr>
          <w:rFonts w:asciiTheme="minorHAnsi" w:hAnsiTheme="minorHAnsi" w:cstheme="minorHAnsi"/>
          <w:b/>
          <w:bCs/>
          <w:sz w:val="22"/>
          <w:szCs w:val="22"/>
        </w:rPr>
        <w:tab/>
      </w:r>
      <w:r w:rsidR="00AA48E9">
        <w:rPr>
          <w:rFonts w:asciiTheme="minorHAnsi" w:hAnsiTheme="minorHAnsi" w:cstheme="minorHAnsi"/>
          <w:b/>
          <w:bCs/>
          <w:sz w:val="22"/>
          <w:szCs w:val="22"/>
        </w:rPr>
        <w:tab/>
      </w:r>
      <w:r w:rsidR="00AA48E9">
        <w:rPr>
          <w:rFonts w:asciiTheme="minorHAnsi" w:hAnsiTheme="minorHAnsi" w:cstheme="minorHAnsi"/>
          <w:b/>
          <w:bCs/>
          <w:sz w:val="22"/>
          <w:szCs w:val="22"/>
        </w:rPr>
        <w:tab/>
      </w:r>
      <w:r>
        <w:rPr>
          <w:rFonts w:asciiTheme="minorHAnsi" w:hAnsiTheme="minorHAnsi" w:cstheme="minorHAnsi"/>
          <w:b/>
          <w:bCs/>
          <w:sz w:val="22"/>
          <w:szCs w:val="22"/>
        </w:rPr>
        <w:t xml:space="preserve"> </w:t>
      </w:r>
    </w:p>
    <w:p w:rsidR="00AA48E9" w:rsidRDefault="00AA48E9" w:rsidP="00AA48E9">
      <w:pPr>
        <w:pStyle w:val="ListParagraph"/>
        <w:rPr>
          <w:rFonts w:asciiTheme="minorHAnsi" w:hAnsiTheme="minorHAnsi" w:cstheme="minorHAnsi"/>
          <w:bCs/>
        </w:rPr>
      </w:pPr>
    </w:p>
    <w:p w:rsidR="00AA48E9" w:rsidRDefault="00AA48E9" w:rsidP="00AA48E9">
      <w:pPr>
        <w:pStyle w:val="ListParagraph"/>
        <w:rPr>
          <w:rFonts w:asciiTheme="minorHAnsi" w:hAnsiTheme="minorHAnsi" w:cstheme="minorHAnsi"/>
          <w:bCs/>
        </w:rPr>
      </w:pPr>
    </w:p>
    <w:p w:rsidR="00AA48E9" w:rsidRDefault="00AA48E9" w:rsidP="00AA48E9">
      <w:pPr>
        <w:pStyle w:val="ListParagraph"/>
        <w:rPr>
          <w:rFonts w:asciiTheme="minorHAnsi" w:hAnsiTheme="minorHAnsi" w:cstheme="minorHAnsi"/>
          <w:bCs/>
        </w:rPr>
      </w:pPr>
    </w:p>
    <w:p w:rsidR="00AA48E9" w:rsidRDefault="00AA48E9" w:rsidP="00AA48E9">
      <w:pPr>
        <w:pStyle w:val="ListParagraph"/>
        <w:rPr>
          <w:rFonts w:asciiTheme="minorHAnsi" w:hAnsiTheme="minorHAnsi" w:cstheme="minorHAnsi"/>
          <w:bCs/>
        </w:rPr>
      </w:pPr>
    </w:p>
    <w:p w:rsidR="00AA48E9" w:rsidRDefault="00AA48E9" w:rsidP="00AA48E9">
      <w:pPr>
        <w:pStyle w:val="ListParagraph"/>
        <w:rPr>
          <w:rFonts w:asciiTheme="minorHAnsi" w:hAnsiTheme="minorHAnsi" w:cstheme="minorHAnsi"/>
          <w:bCs/>
        </w:rPr>
      </w:pPr>
    </w:p>
    <w:p w:rsidR="00AA48E9" w:rsidRDefault="00AA48E9" w:rsidP="00AA48E9">
      <w:pPr>
        <w:pStyle w:val="ListParagraph"/>
        <w:rPr>
          <w:rFonts w:asciiTheme="minorHAnsi" w:hAnsiTheme="minorHAnsi" w:cstheme="minorHAnsi"/>
          <w:bCs/>
        </w:rPr>
      </w:pPr>
    </w:p>
    <w:p w:rsidR="00AA48E9" w:rsidRDefault="00AA48E9" w:rsidP="00AA48E9">
      <w:pPr>
        <w:pStyle w:val="ListParagraph"/>
        <w:rPr>
          <w:rFonts w:asciiTheme="minorHAnsi" w:hAnsiTheme="minorHAnsi" w:cstheme="minorHAnsi"/>
          <w:bCs/>
        </w:rPr>
      </w:pPr>
    </w:p>
    <w:p w:rsidR="00AA48E9" w:rsidRDefault="00AA48E9" w:rsidP="00AA48E9">
      <w:pPr>
        <w:pStyle w:val="ListParagraph"/>
        <w:rPr>
          <w:rFonts w:asciiTheme="minorHAnsi" w:hAnsiTheme="minorHAnsi" w:cstheme="minorHAnsi"/>
          <w:bCs/>
        </w:rPr>
      </w:pPr>
    </w:p>
    <w:p w:rsidR="00AA48E9" w:rsidRDefault="00AA48E9" w:rsidP="00AA48E9">
      <w:pPr>
        <w:pStyle w:val="ListParagraph"/>
        <w:rPr>
          <w:rFonts w:asciiTheme="minorHAnsi" w:hAnsiTheme="minorHAnsi" w:cstheme="minorHAnsi"/>
          <w:bCs/>
        </w:rPr>
      </w:pPr>
    </w:p>
    <w:p w:rsidR="00AA48E9" w:rsidRDefault="00AA48E9" w:rsidP="00AA48E9">
      <w:pPr>
        <w:pStyle w:val="ListParagraph"/>
        <w:rPr>
          <w:rFonts w:asciiTheme="minorHAnsi" w:hAnsiTheme="minorHAnsi" w:cstheme="minorHAnsi"/>
          <w:bCs/>
        </w:rPr>
      </w:pPr>
    </w:p>
    <w:p w:rsidR="00AA48E9" w:rsidRDefault="00AA48E9" w:rsidP="00AA48E9">
      <w:pPr>
        <w:pStyle w:val="ListParagraph"/>
        <w:rPr>
          <w:rFonts w:asciiTheme="minorHAnsi" w:hAnsiTheme="minorHAnsi" w:cstheme="minorHAnsi"/>
          <w:bCs/>
        </w:rPr>
      </w:pPr>
    </w:p>
    <w:p w:rsidR="00AA48E9" w:rsidRDefault="00AA48E9" w:rsidP="00AA48E9">
      <w:pPr>
        <w:pStyle w:val="ListParagraph"/>
        <w:rPr>
          <w:rFonts w:asciiTheme="minorHAnsi" w:hAnsiTheme="minorHAnsi" w:cstheme="minorHAnsi"/>
          <w:bCs/>
        </w:rPr>
      </w:pPr>
    </w:p>
    <w:p w:rsidR="00AA48E9" w:rsidRDefault="00AA48E9" w:rsidP="00AA48E9">
      <w:pPr>
        <w:pStyle w:val="ListParagraph"/>
        <w:rPr>
          <w:rFonts w:asciiTheme="minorHAnsi" w:hAnsiTheme="minorHAnsi" w:cstheme="minorHAnsi"/>
          <w:bCs/>
        </w:rPr>
      </w:pPr>
    </w:p>
    <w:p w:rsidR="00AA48E9" w:rsidRDefault="00AA48E9" w:rsidP="00AA48E9">
      <w:pPr>
        <w:pStyle w:val="ListParagraph"/>
        <w:rPr>
          <w:rFonts w:asciiTheme="minorHAnsi" w:hAnsiTheme="minorHAnsi" w:cstheme="minorHAnsi"/>
          <w:bCs/>
        </w:rPr>
      </w:pPr>
    </w:p>
    <w:p w:rsidR="00AA48E9" w:rsidRDefault="00AA48E9" w:rsidP="00AA48E9">
      <w:pPr>
        <w:pStyle w:val="ListParagraph"/>
        <w:rPr>
          <w:rFonts w:asciiTheme="minorHAnsi" w:hAnsiTheme="minorHAnsi" w:cstheme="minorHAnsi"/>
          <w:bCs/>
        </w:rPr>
      </w:pPr>
    </w:p>
    <w:p w:rsidR="00AA48E9" w:rsidRDefault="00AA48E9" w:rsidP="00AA48E9">
      <w:pPr>
        <w:pStyle w:val="ListParagraph"/>
        <w:rPr>
          <w:rFonts w:asciiTheme="minorHAnsi" w:hAnsiTheme="minorHAnsi" w:cstheme="minorHAnsi"/>
          <w:bCs/>
        </w:rPr>
      </w:pPr>
    </w:p>
    <w:p w:rsidR="00AA48E9" w:rsidRDefault="00AA48E9" w:rsidP="00AA48E9">
      <w:pPr>
        <w:pStyle w:val="ListParagraph"/>
        <w:rPr>
          <w:rFonts w:asciiTheme="minorHAnsi" w:hAnsiTheme="minorHAnsi" w:cstheme="minorHAnsi"/>
          <w:bCs/>
        </w:rPr>
      </w:pPr>
    </w:p>
    <w:p w:rsidR="00AA48E9" w:rsidRDefault="00AA48E9" w:rsidP="00AA48E9">
      <w:pPr>
        <w:pStyle w:val="ListParagraph"/>
        <w:rPr>
          <w:rFonts w:asciiTheme="minorHAnsi" w:hAnsiTheme="minorHAnsi" w:cstheme="minorHAnsi"/>
          <w:bCs/>
        </w:rPr>
      </w:pPr>
    </w:p>
    <w:p w:rsidR="00AA48E9" w:rsidRDefault="00AA48E9" w:rsidP="00AA48E9">
      <w:pPr>
        <w:pStyle w:val="ListParagraph"/>
        <w:rPr>
          <w:rFonts w:asciiTheme="minorHAnsi" w:hAnsiTheme="minorHAnsi" w:cstheme="minorHAnsi"/>
          <w:bCs/>
        </w:rPr>
      </w:pPr>
    </w:p>
    <w:p w:rsidR="00AA48E9" w:rsidRDefault="00AA48E9" w:rsidP="00AA48E9">
      <w:pPr>
        <w:pStyle w:val="ListParagraph"/>
        <w:rPr>
          <w:rFonts w:asciiTheme="minorHAnsi" w:hAnsiTheme="minorHAnsi" w:cstheme="minorHAnsi"/>
          <w:bCs/>
        </w:rPr>
      </w:pPr>
    </w:p>
    <w:p w:rsidR="00AA48E9" w:rsidRDefault="00AA48E9" w:rsidP="00AA48E9">
      <w:pPr>
        <w:pStyle w:val="ListParagraph"/>
        <w:rPr>
          <w:rFonts w:asciiTheme="minorHAnsi" w:hAnsiTheme="minorHAnsi" w:cstheme="minorHAnsi"/>
          <w:bCs/>
        </w:rPr>
      </w:pPr>
    </w:p>
    <w:p w:rsidR="00AA48E9" w:rsidRDefault="00AA48E9" w:rsidP="00AA48E9">
      <w:pPr>
        <w:pStyle w:val="ListParagraph"/>
        <w:rPr>
          <w:rFonts w:asciiTheme="minorHAnsi" w:hAnsiTheme="minorHAnsi" w:cstheme="minorHAnsi"/>
          <w:bCs/>
        </w:rPr>
      </w:pPr>
    </w:p>
    <w:p w:rsidR="00AA48E9" w:rsidRDefault="00AA48E9" w:rsidP="00AA48E9">
      <w:pPr>
        <w:pStyle w:val="ListParagraph"/>
        <w:rPr>
          <w:rFonts w:asciiTheme="minorHAnsi" w:hAnsiTheme="minorHAnsi" w:cstheme="minorHAnsi"/>
          <w:bCs/>
        </w:rPr>
      </w:pPr>
    </w:p>
    <w:p w:rsidR="00AA48E9" w:rsidRPr="00AA48E9" w:rsidRDefault="00AA48E9" w:rsidP="00AA48E9">
      <w:pPr>
        <w:pStyle w:val="ListParagraph"/>
        <w:rPr>
          <w:rFonts w:asciiTheme="minorHAnsi" w:hAnsiTheme="minorHAnsi" w:cstheme="minorHAnsi"/>
          <w:bCs/>
        </w:rPr>
      </w:pPr>
    </w:p>
    <w:p w:rsidR="001F592D" w:rsidRPr="000F343F" w:rsidRDefault="001F592D" w:rsidP="00735A77">
      <w:pPr>
        <w:rPr>
          <w:rFonts w:asciiTheme="minorHAnsi" w:hAnsiTheme="minorHAnsi" w:cstheme="minorHAnsi"/>
          <w:b/>
          <w:bCs/>
          <w:sz w:val="22"/>
          <w:szCs w:val="22"/>
        </w:rPr>
      </w:pPr>
    </w:p>
    <w:p w:rsidR="00A518B0" w:rsidRPr="000F343F" w:rsidRDefault="002A4D11" w:rsidP="00735A77">
      <w:pPr>
        <w:rPr>
          <w:rFonts w:asciiTheme="minorHAnsi" w:hAnsiTheme="minorHAnsi" w:cstheme="minorHAnsi"/>
          <w:b/>
          <w:bCs/>
          <w:sz w:val="22"/>
          <w:szCs w:val="22"/>
        </w:rPr>
      </w:pPr>
      <w:r w:rsidRPr="000F343F">
        <w:rPr>
          <w:rFonts w:asciiTheme="minorHAnsi" w:hAnsiTheme="minorHAnsi" w:cstheme="minorHAnsi"/>
          <w:b/>
          <w:bCs/>
          <w:sz w:val="22"/>
          <w:szCs w:val="22"/>
        </w:rPr>
        <w:t xml:space="preserve">Agenda </w:t>
      </w:r>
    </w:p>
    <w:p w:rsidR="00590AF6" w:rsidRPr="000F343F" w:rsidRDefault="00590AF6" w:rsidP="00735A77">
      <w:pPr>
        <w:rPr>
          <w:rFonts w:asciiTheme="minorHAnsi" w:hAnsiTheme="minorHAnsi" w:cstheme="minorHAnsi"/>
          <w:b/>
          <w:bCs/>
          <w:sz w:val="22"/>
          <w:szCs w:val="22"/>
        </w:rPr>
      </w:pPr>
    </w:p>
    <w:p w:rsidR="00590AF6" w:rsidRPr="000F343F" w:rsidRDefault="00590AF6" w:rsidP="00735A77">
      <w:pPr>
        <w:rPr>
          <w:rFonts w:asciiTheme="minorHAnsi" w:hAnsiTheme="minorHAnsi" w:cstheme="minorHAnsi"/>
          <w:b/>
          <w:bCs/>
          <w:sz w:val="22"/>
          <w:szCs w:val="22"/>
        </w:rPr>
      </w:pPr>
    </w:p>
    <w:p w:rsidR="006A4411" w:rsidRDefault="006A4411" w:rsidP="006A4411">
      <w:pPr>
        <w:pStyle w:val="BodyTextIndent2"/>
        <w:numPr>
          <w:ilvl w:val="0"/>
          <w:numId w:val="2"/>
        </w:numPr>
        <w:pBdr>
          <w:top w:val="none" w:sz="0" w:space="0" w:color="auto"/>
          <w:left w:val="none" w:sz="0" w:space="0" w:color="auto"/>
          <w:bottom w:val="none" w:sz="0" w:space="0" w:color="auto"/>
          <w:right w:val="none" w:sz="0" w:space="0" w:color="auto"/>
        </w:pBdr>
        <w:spacing w:line="276" w:lineRule="auto"/>
        <w:jc w:val="both"/>
        <w:rPr>
          <w:rFonts w:asciiTheme="minorHAnsi" w:hAnsiTheme="minorHAnsi" w:cstheme="minorHAnsi"/>
          <w:b/>
          <w:bCs/>
          <w:sz w:val="22"/>
          <w:szCs w:val="22"/>
        </w:rPr>
      </w:pPr>
      <w:r w:rsidRPr="000F343F">
        <w:rPr>
          <w:rFonts w:asciiTheme="minorHAnsi" w:hAnsiTheme="minorHAnsi" w:cstheme="minorHAnsi"/>
          <w:b/>
          <w:bCs/>
          <w:sz w:val="22"/>
          <w:szCs w:val="22"/>
        </w:rPr>
        <w:t>Minutes &amp; Matters arising</w:t>
      </w:r>
    </w:p>
    <w:p w:rsidR="00AA48E9" w:rsidRDefault="00AA48E9" w:rsidP="00AA48E9">
      <w:pPr>
        <w:pStyle w:val="BodyTextIndent2"/>
        <w:pBdr>
          <w:top w:val="none" w:sz="0" w:space="0" w:color="auto"/>
          <w:left w:val="none" w:sz="0" w:space="0" w:color="auto"/>
          <w:bottom w:val="none" w:sz="0" w:space="0" w:color="auto"/>
          <w:right w:val="none" w:sz="0" w:space="0" w:color="auto"/>
        </w:pBdr>
        <w:spacing w:line="276" w:lineRule="auto"/>
        <w:ind w:left="0" w:firstLine="0"/>
        <w:jc w:val="both"/>
        <w:rPr>
          <w:rFonts w:asciiTheme="minorHAnsi" w:hAnsiTheme="minorHAnsi" w:cstheme="minorHAnsi"/>
          <w:b/>
          <w:bCs/>
          <w:sz w:val="22"/>
          <w:szCs w:val="22"/>
        </w:rPr>
      </w:pPr>
    </w:p>
    <w:p w:rsidR="00554654" w:rsidRDefault="004C2CE1" w:rsidP="004C2CE1">
      <w:pPr>
        <w:pStyle w:val="BodyTextIndent2"/>
        <w:pBdr>
          <w:top w:val="none" w:sz="0" w:space="0" w:color="auto"/>
          <w:left w:val="none" w:sz="0" w:space="0" w:color="auto"/>
          <w:bottom w:val="none" w:sz="0" w:space="0" w:color="auto"/>
          <w:right w:val="none" w:sz="0" w:space="0" w:color="auto"/>
        </w:pBdr>
        <w:spacing w:line="276" w:lineRule="auto"/>
        <w:ind w:left="0" w:firstLine="0"/>
        <w:jc w:val="both"/>
        <w:rPr>
          <w:rFonts w:asciiTheme="minorHAnsi" w:hAnsiTheme="minorHAnsi" w:cstheme="minorHAnsi"/>
          <w:bCs/>
          <w:sz w:val="22"/>
          <w:szCs w:val="22"/>
        </w:rPr>
      </w:pPr>
      <w:r w:rsidRPr="004C2CE1">
        <w:rPr>
          <w:rFonts w:asciiTheme="minorHAnsi" w:hAnsiTheme="minorHAnsi" w:cstheme="minorHAnsi"/>
          <w:bCs/>
          <w:sz w:val="22"/>
          <w:szCs w:val="22"/>
        </w:rPr>
        <w:t>The minutes of the 86</w:t>
      </w:r>
      <w:r w:rsidRPr="004C2CE1">
        <w:rPr>
          <w:rFonts w:asciiTheme="minorHAnsi" w:hAnsiTheme="minorHAnsi" w:cstheme="minorHAnsi"/>
          <w:bCs/>
          <w:sz w:val="22"/>
          <w:szCs w:val="22"/>
          <w:vertAlign w:val="superscript"/>
        </w:rPr>
        <w:t>th</w:t>
      </w:r>
      <w:r w:rsidRPr="004C2CE1">
        <w:rPr>
          <w:rFonts w:asciiTheme="minorHAnsi" w:hAnsiTheme="minorHAnsi" w:cstheme="minorHAnsi"/>
          <w:bCs/>
          <w:sz w:val="22"/>
          <w:szCs w:val="22"/>
        </w:rPr>
        <w:t xml:space="preserve"> Plenary were adopted.</w:t>
      </w:r>
    </w:p>
    <w:p w:rsidR="004C2CE1" w:rsidRDefault="004C2CE1" w:rsidP="004C2CE1">
      <w:pPr>
        <w:pStyle w:val="BodyTextIndent2"/>
        <w:pBdr>
          <w:top w:val="none" w:sz="0" w:space="0" w:color="auto"/>
          <w:left w:val="none" w:sz="0" w:space="0" w:color="auto"/>
          <w:bottom w:val="none" w:sz="0" w:space="0" w:color="auto"/>
          <w:right w:val="none" w:sz="0" w:space="0" w:color="auto"/>
        </w:pBdr>
        <w:spacing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br/>
        <w:t xml:space="preserve">There were no matters arising. </w:t>
      </w:r>
    </w:p>
    <w:p w:rsidR="004C2CE1" w:rsidRPr="004C2CE1" w:rsidRDefault="004C2CE1" w:rsidP="004C2CE1">
      <w:pPr>
        <w:pStyle w:val="BodyTextIndent2"/>
        <w:pBdr>
          <w:top w:val="none" w:sz="0" w:space="0" w:color="auto"/>
          <w:left w:val="none" w:sz="0" w:space="0" w:color="auto"/>
          <w:bottom w:val="none" w:sz="0" w:space="0" w:color="auto"/>
          <w:right w:val="none" w:sz="0" w:space="0" w:color="auto"/>
        </w:pBdr>
        <w:spacing w:line="276" w:lineRule="auto"/>
        <w:ind w:left="0" w:firstLine="0"/>
        <w:jc w:val="both"/>
        <w:rPr>
          <w:rFonts w:asciiTheme="minorHAnsi" w:hAnsiTheme="minorHAnsi" w:cstheme="minorHAnsi"/>
          <w:bCs/>
          <w:sz w:val="22"/>
          <w:szCs w:val="22"/>
        </w:rPr>
      </w:pPr>
    </w:p>
    <w:p w:rsidR="00590AF6" w:rsidRDefault="00590AF6" w:rsidP="00590AF6">
      <w:pPr>
        <w:pStyle w:val="BodyTextIndent2"/>
        <w:numPr>
          <w:ilvl w:val="0"/>
          <w:numId w:val="2"/>
        </w:numPr>
        <w:pBdr>
          <w:top w:val="none" w:sz="0" w:space="0" w:color="auto"/>
          <w:left w:val="none" w:sz="0" w:space="0" w:color="auto"/>
          <w:bottom w:val="none" w:sz="0" w:space="0" w:color="auto"/>
          <w:right w:val="none" w:sz="0" w:space="0" w:color="auto"/>
        </w:pBdr>
        <w:spacing w:line="276" w:lineRule="auto"/>
        <w:jc w:val="both"/>
        <w:rPr>
          <w:rFonts w:asciiTheme="minorHAnsi" w:hAnsiTheme="minorHAnsi" w:cstheme="minorHAnsi"/>
          <w:b/>
          <w:bCs/>
          <w:sz w:val="22"/>
          <w:szCs w:val="22"/>
        </w:rPr>
      </w:pPr>
      <w:r w:rsidRPr="000F343F">
        <w:rPr>
          <w:rFonts w:asciiTheme="minorHAnsi" w:hAnsiTheme="minorHAnsi" w:cstheme="minorHAnsi"/>
          <w:b/>
          <w:bCs/>
          <w:sz w:val="22"/>
          <w:szCs w:val="22"/>
        </w:rPr>
        <w:t xml:space="preserve">EU Measures and European Commission Proposals with relevance to company law </w:t>
      </w:r>
    </w:p>
    <w:p w:rsidR="00590AF6" w:rsidRDefault="00590AF6" w:rsidP="000F343F">
      <w:pPr>
        <w:rPr>
          <w:rFonts w:asciiTheme="minorHAnsi" w:hAnsiTheme="minorHAnsi" w:cstheme="minorHAnsi"/>
          <w:bCs/>
          <w:sz w:val="22"/>
          <w:szCs w:val="22"/>
        </w:rPr>
      </w:pPr>
    </w:p>
    <w:p w:rsidR="004C2CE1" w:rsidRPr="000F343F" w:rsidRDefault="004C2CE1" w:rsidP="000F343F">
      <w:pPr>
        <w:rPr>
          <w:rFonts w:asciiTheme="minorHAnsi" w:hAnsiTheme="minorHAnsi" w:cstheme="minorHAnsi"/>
          <w:bCs/>
          <w:sz w:val="22"/>
          <w:szCs w:val="22"/>
        </w:rPr>
      </w:pPr>
      <w:r>
        <w:rPr>
          <w:rFonts w:asciiTheme="minorHAnsi" w:hAnsiTheme="minorHAnsi" w:cstheme="minorHAnsi"/>
          <w:bCs/>
          <w:sz w:val="22"/>
          <w:szCs w:val="22"/>
        </w:rPr>
        <w:t>The following updates were provided:</w:t>
      </w:r>
    </w:p>
    <w:p w:rsidR="000F343F" w:rsidRPr="000F343F" w:rsidRDefault="000F343F" w:rsidP="000F343F">
      <w:pPr>
        <w:rPr>
          <w:rFonts w:asciiTheme="minorHAnsi" w:hAnsiTheme="minorHAnsi" w:cstheme="minorHAnsi"/>
          <w:b/>
          <w:bCs/>
          <w:sz w:val="22"/>
          <w:szCs w:val="22"/>
        </w:rPr>
      </w:pPr>
    </w:p>
    <w:p w:rsidR="00590AF6" w:rsidRPr="000F343F" w:rsidRDefault="00590AF6" w:rsidP="00FA72C4">
      <w:pPr>
        <w:rPr>
          <w:rFonts w:asciiTheme="minorHAnsi" w:hAnsiTheme="minorHAnsi" w:cstheme="minorHAnsi"/>
          <w:b/>
          <w:sz w:val="22"/>
          <w:szCs w:val="22"/>
        </w:rPr>
      </w:pPr>
      <w:r w:rsidRPr="000F343F">
        <w:rPr>
          <w:rFonts w:asciiTheme="minorHAnsi" w:hAnsiTheme="minorHAnsi" w:cstheme="minorHAnsi"/>
          <w:b/>
          <w:sz w:val="22"/>
          <w:szCs w:val="22"/>
        </w:rPr>
        <w:t>Insolvency Directive (EU) 2019/1023 on preventive restructuring frameworks (second-chance Directive)</w:t>
      </w:r>
    </w:p>
    <w:p w:rsidR="00FA72C4" w:rsidRPr="000F343F" w:rsidRDefault="00FA72C4" w:rsidP="00FA72C4">
      <w:pPr>
        <w:rPr>
          <w:rFonts w:asciiTheme="minorHAnsi" w:hAnsiTheme="minorHAnsi" w:cstheme="minorHAnsi"/>
          <w:sz w:val="22"/>
          <w:szCs w:val="22"/>
        </w:rPr>
      </w:pPr>
      <w:r w:rsidRPr="000F343F">
        <w:rPr>
          <w:rFonts w:asciiTheme="minorHAnsi" w:hAnsiTheme="minorHAnsi" w:cstheme="minorHAnsi"/>
          <w:sz w:val="22"/>
          <w:szCs w:val="22"/>
        </w:rPr>
        <w:t>The Directive was published on 20</w:t>
      </w:r>
      <w:r w:rsidRPr="000F343F">
        <w:rPr>
          <w:rFonts w:asciiTheme="minorHAnsi" w:hAnsiTheme="minorHAnsi" w:cstheme="minorHAnsi"/>
          <w:sz w:val="22"/>
          <w:szCs w:val="22"/>
          <w:vertAlign w:val="superscript"/>
        </w:rPr>
        <w:t>th</w:t>
      </w:r>
      <w:r w:rsidRPr="000F343F">
        <w:rPr>
          <w:rFonts w:asciiTheme="minorHAnsi" w:hAnsiTheme="minorHAnsi" w:cstheme="minorHAnsi"/>
          <w:sz w:val="22"/>
          <w:szCs w:val="22"/>
        </w:rPr>
        <w:t xml:space="preserve"> June 2019 following adoption by the European Council. </w:t>
      </w:r>
    </w:p>
    <w:p w:rsidR="00FA72C4" w:rsidRPr="000F343F" w:rsidRDefault="00FA72C4" w:rsidP="00FA72C4">
      <w:pPr>
        <w:ind w:left="720"/>
        <w:rPr>
          <w:rFonts w:asciiTheme="minorHAnsi" w:hAnsiTheme="minorHAnsi" w:cstheme="minorHAnsi"/>
          <w:sz w:val="22"/>
          <w:szCs w:val="22"/>
        </w:rPr>
      </w:pPr>
    </w:p>
    <w:p w:rsidR="00A63282" w:rsidRPr="007A51EA" w:rsidRDefault="00FA72C4" w:rsidP="00FA72C4">
      <w:pPr>
        <w:rPr>
          <w:rFonts w:asciiTheme="minorHAnsi" w:hAnsiTheme="minorHAnsi" w:cstheme="minorHAnsi"/>
          <w:sz w:val="22"/>
          <w:szCs w:val="22"/>
        </w:rPr>
      </w:pPr>
      <w:r w:rsidRPr="000F343F">
        <w:rPr>
          <w:rFonts w:asciiTheme="minorHAnsi" w:hAnsiTheme="minorHAnsi" w:cstheme="minorHAnsi"/>
          <w:sz w:val="22"/>
          <w:szCs w:val="22"/>
        </w:rPr>
        <w:t xml:space="preserve">The Department is engaging in an exercise mapping the Directive against the examinership provisions in the Companies Act 2014 and considering any relevant updates and amendments to support transposition of the Directive. It is intended to launch a public consultation on the Member State options before the end of the year, also seeking observations on the general suitability of examinership under the Directive also. The consultation will be sent to the CLRG upon release. </w:t>
      </w:r>
    </w:p>
    <w:p w:rsidR="00FA72C4" w:rsidRPr="000F343F" w:rsidRDefault="00FA72C4" w:rsidP="00FA72C4">
      <w:pPr>
        <w:rPr>
          <w:rFonts w:asciiTheme="minorHAnsi" w:hAnsiTheme="minorHAnsi" w:cstheme="minorHAnsi"/>
          <w:b/>
          <w:sz w:val="22"/>
          <w:szCs w:val="22"/>
        </w:rPr>
      </w:pPr>
    </w:p>
    <w:p w:rsidR="00590AF6" w:rsidRPr="000F343F" w:rsidRDefault="00590AF6" w:rsidP="00FA72C4">
      <w:pPr>
        <w:rPr>
          <w:rFonts w:asciiTheme="minorHAnsi" w:hAnsiTheme="minorHAnsi" w:cstheme="minorHAnsi"/>
          <w:b/>
          <w:sz w:val="22"/>
          <w:szCs w:val="22"/>
        </w:rPr>
      </w:pPr>
      <w:r w:rsidRPr="000F343F">
        <w:rPr>
          <w:rFonts w:asciiTheme="minorHAnsi" w:hAnsiTheme="minorHAnsi" w:cstheme="minorHAnsi"/>
          <w:b/>
          <w:sz w:val="22"/>
          <w:szCs w:val="22"/>
        </w:rPr>
        <w:t>Company law digitalisation Directive (EU) 2019/1151</w:t>
      </w:r>
    </w:p>
    <w:p w:rsidR="00FA72C4" w:rsidRPr="000F343F" w:rsidRDefault="00FA72C4" w:rsidP="00FA72C4">
      <w:pPr>
        <w:rPr>
          <w:rFonts w:asciiTheme="minorHAnsi" w:hAnsiTheme="minorHAnsi" w:cstheme="minorHAnsi"/>
          <w:sz w:val="22"/>
          <w:szCs w:val="22"/>
        </w:rPr>
      </w:pPr>
      <w:r w:rsidRPr="000F343F">
        <w:rPr>
          <w:rFonts w:asciiTheme="minorHAnsi" w:hAnsiTheme="minorHAnsi" w:cstheme="minorHAnsi"/>
          <w:sz w:val="22"/>
          <w:szCs w:val="22"/>
        </w:rPr>
        <w:t>The Directive on digital tools was published in the Official Journal on 11 July 2019 and entered into force on 31 July 2019. Under Article 2 of the Directive, Member States shall bring into force the laws, regulations and administrative provisions necessary to comply with this Directive by 1 August 2021.  The CRO new ICT system is expected to meet the requirements of the Directive.</w:t>
      </w:r>
    </w:p>
    <w:p w:rsidR="00FA72C4" w:rsidRPr="000F343F" w:rsidRDefault="00FA72C4" w:rsidP="005A77AE">
      <w:pPr>
        <w:rPr>
          <w:rFonts w:asciiTheme="minorHAnsi" w:hAnsiTheme="minorHAnsi" w:cstheme="minorHAnsi"/>
          <w:b/>
          <w:sz w:val="22"/>
          <w:szCs w:val="22"/>
        </w:rPr>
      </w:pPr>
    </w:p>
    <w:p w:rsidR="00590AF6" w:rsidRPr="000F343F" w:rsidRDefault="00590AF6" w:rsidP="00FA72C4">
      <w:pPr>
        <w:pStyle w:val="BodyTextIndent2"/>
        <w:pBdr>
          <w:top w:val="none" w:sz="0" w:space="0" w:color="auto"/>
          <w:left w:val="none" w:sz="0" w:space="0" w:color="auto"/>
          <w:bottom w:val="none" w:sz="0" w:space="0" w:color="auto"/>
          <w:right w:val="none" w:sz="0" w:space="0" w:color="auto"/>
        </w:pBdr>
        <w:spacing w:line="276" w:lineRule="auto"/>
        <w:rPr>
          <w:rFonts w:asciiTheme="minorHAnsi" w:hAnsiTheme="minorHAnsi" w:cstheme="minorHAnsi"/>
          <w:b/>
          <w:sz w:val="22"/>
          <w:szCs w:val="22"/>
        </w:rPr>
      </w:pPr>
      <w:r w:rsidRPr="000F343F">
        <w:rPr>
          <w:rFonts w:asciiTheme="minorHAnsi" w:hAnsiTheme="minorHAnsi" w:cstheme="minorHAnsi"/>
          <w:b/>
          <w:sz w:val="22"/>
          <w:szCs w:val="22"/>
        </w:rPr>
        <w:t>Transposition of second Shareholders Rights Directive (Directive</w:t>
      </w:r>
      <w:r w:rsidR="00FA72C4" w:rsidRPr="000F343F">
        <w:rPr>
          <w:rFonts w:asciiTheme="minorHAnsi" w:hAnsiTheme="minorHAnsi" w:cstheme="minorHAnsi"/>
          <w:b/>
          <w:sz w:val="22"/>
          <w:szCs w:val="22"/>
        </w:rPr>
        <w:t xml:space="preserve"> </w:t>
      </w:r>
      <w:r w:rsidRPr="000F343F">
        <w:rPr>
          <w:rFonts w:asciiTheme="minorHAnsi" w:hAnsiTheme="minorHAnsi" w:cstheme="minorHAnsi"/>
          <w:b/>
          <w:sz w:val="22"/>
          <w:szCs w:val="22"/>
        </w:rPr>
        <w:t>(EU)2017/828)</w:t>
      </w:r>
    </w:p>
    <w:p w:rsidR="005A77AE" w:rsidRPr="000F343F" w:rsidRDefault="005A77AE" w:rsidP="000F343F">
      <w:pPr>
        <w:rPr>
          <w:rFonts w:asciiTheme="minorHAnsi" w:hAnsiTheme="minorHAnsi" w:cstheme="minorHAnsi"/>
          <w:sz w:val="22"/>
          <w:szCs w:val="22"/>
        </w:rPr>
      </w:pPr>
      <w:r w:rsidRPr="000F343F">
        <w:rPr>
          <w:rFonts w:asciiTheme="minorHAnsi" w:hAnsiTheme="minorHAnsi" w:cstheme="minorHAnsi"/>
          <w:sz w:val="22"/>
          <w:szCs w:val="22"/>
        </w:rPr>
        <w:t>The deadline for transposition of Directive (EU) 2017/828 (Shareholders’ Rights’ Directive) was 10 June 2019.  We are continuing to work intensively with the Office of Parliamentary Counsel   on the   transposition of the Directive and expect that the S.I.  will be finalised shortly.   </w:t>
      </w:r>
    </w:p>
    <w:p w:rsidR="00590AF6" w:rsidRPr="000F343F" w:rsidRDefault="00590AF6" w:rsidP="00590AF6">
      <w:pPr>
        <w:ind w:left="698" w:firstLine="720"/>
        <w:rPr>
          <w:rFonts w:asciiTheme="minorHAnsi" w:hAnsiTheme="minorHAnsi" w:cstheme="minorHAnsi"/>
          <w:sz w:val="22"/>
          <w:szCs w:val="22"/>
        </w:rPr>
      </w:pPr>
    </w:p>
    <w:p w:rsidR="00590AF6" w:rsidRDefault="00590AF6" w:rsidP="005A77AE">
      <w:pPr>
        <w:rPr>
          <w:rFonts w:asciiTheme="minorHAnsi" w:hAnsiTheme="minorHAnsi" w:cstheme="minorHAnsi"/>
          <w:b/>
          <w:sz w:val="22"/>
          <w:szCs w:val="22"/>
        </w:rPr>
      </w:pPr>
      <w:r w:rsidRPr="000F343F">
        <w:rPr>
          <w:rFonts w:asciiTheme="minorHAnsi" w:hAnsiTheme="minorHAnsi" w:cstheme="minorHAnsi"/>
          <w:b/>
          <w:sz w:val="22"/>
          <w:szCs w:val="22"/>
        </w:rPr>
        <w:t>Directive of 18 November 2019 amending Directive (EU) 2017/1132 as regards cross-border conversions, mergers and divisions</w:t>
      </w:r>
    </w:p>
    <w:p w:rsidR="00BF7985" w:rsidRPr="00D0276A" w:rsidRDefault="00BF7985" w:rsidP="005A77AE">
      <w:pPr>
        <w:rPr>
          <w:rFonts w:ascii="Calibri" w:hAnsi="Calibri" w:cs="Calibri"/>
          <w:sz w:val="22"/>
          <w:szCs w:val="22"/>
        </w:rPr>
      </w:pPr>
      <w:r w:rsidRPr="00D0276A">
        <w:rPr>
          <w:rFonts w:ascii="Calibri" w:hAnsi="Calibri" w:cs="Calibri"/>
          <w:sz w:val="22"/>
          <w:szCs w:val="22"/>
        </w:rPr>
        <w:t>The Directive was adopted on the 18</w:t>
      </w:r>
      <w:r w:rsidRPr="00D0276A">
        <w:rPr>
          <w:rFonts w:ascii="Calibri" w:hAnsi="Calibri" w:cs="Calibri"/>
          <w:sz w:val="22"/>
          <w:szCs w:val="22"/>
          <w:vertAlign w:val="superscript"/>
        </w:rPr>
        <w:t>th</w:t>
      </w:r>
      <w:r w:rsidRPr="00D0276A">
        <w:rPr>
          <w:rFonts w:ascii="Calibri" w:hAnsi="Calibri" w:cs="Calibri"/>
          <w:sz w:val="22"/>
          <w:szCs w:val="22"/>
        </w:rPr>
        <w:t xml:space="preserve"> of November and </w:t>
      </w:r>
      <w:r w:rsidRPr="00D0276A">
        <w:rPr>
          <w:rFonts w:ascii="Calibri" w:hAnsi="Calibri" w:cs="Calibri"/>
          <w:sz w:val="22"/>
          <w:szCs w:val="22"/>
          <w:shd w:val="clear" w:color="auto" w:fill="FFFFFF"/>
        </w:rPr>
        <w:t>introduces comprehensive procedures for cross-border conversions and divisions and provides for additional rules on cross-border mergers of limited liability companies established in an EU member state. They also offer further simplifications that will apply to all three operations. </w:t>
      </w:r>
      <w:r w:rsidR="00D0276A" w:rsidRPr="00D0276A">
        <w:rPr>
          <w:rFonts w:ascii="Calibri" w:hAnsi="Calibri" w:cs="Calibri"/>
          <w:sz w:val="22"/>
          <w:szCs w:val="22"/>
          <w:shd w:val="clear" w:color="auto" w:fill="FFFFFF"/>
        </w:rPr>
        <w:t xml:space="preserve">The directive will </w:t>
      </w:r>
      <w:r w:rsidR="00D0276A" w:rsidRPr="00D0276A">
        <w:rPr>
          <w:rFonts w:ascii="Calibri" w:hAnsi="Calibri" w:cs="Calibri"/>
          <w:sz w:val="22"/>
          <w:szCs w:val="22"/>
          <w:shd w:val="clear" w:color="auto" w:fill="FFFFFF"/>
        </w:rPr>
        <w:lastRenderedPageBreak/>
        <w:t>enter into force 20 days after its publication in the Official Journal of the EU. Member states will then have 36 months to adopt the measures necessary for its implementation.</w:t>
      </w:r>
    </w:p>
    <w:p w:rsidR="00590AF6" w:rsidRPr="000F343F" w:rsidRDefault="00590AF6" w:rsidP="00590AF6">
      <w:pPr>
        <w:rPr>
          <w:rFonts w:asciiTheme="minorHAnsi" w:hAnsiTheme="minorHAnsi" w:cstheme="minorHAnsi"/>
          <w:sz w:val="22"/>
          <w:szCs w:val="22"/>
        </w:rPr>
      </w:pPr>
    </w:p>
    <w:p w:rsidR="00590AF6" w:rsidRDefault="00590AF6" w:rsidP="000F343F">
      <w:pPr>
        <w:pStyle w:val="BodyTextIndent2"/>
        <w:pBdr>
          <w:top w:val="none" w:sz="0" w:space="0" w:color="auto"/>
          <w:left w:val="none" w:sz="0" w:space="0" w:color="auto"/>
          <w:bottom w:val="none" w:sz="0" w:space="0" w:color="auto"/>
          <w:right w:val="none" w:sz="0" w:space="0" w:color="auto"/>
        </w:pBdr>
        <w:spacing w:line="276" w:lineRule="auto"/>
        <w:ind w:left="0" w:firstLine="0"/>
        <w:rPr>
          <w:rFonts w:asciiTheme="minorHAnsi" w:hAnsiTheme="minorHAnsi" w:cstheme="minorHAnsi"/>
          <w:b/>
          <w:sz w:val="22"/>
          <w:szCs w:val="22"/>
        </w:rPr>
      </w:pPr>
    </w:p>
    <w:p w:rsidR="004C2CE1" w:rsidRDefault="004C2CE1" w:rsidP="000F343F">
      <w:pPr>
        <w:pStyle w:val="BodyTextIndent2"/>
        <w:pBdr>
          <w:top w:val="none" w:sz="0" w:space="0" w:color="auto"/>
          <w:left w:val="none" w:sz="0" w:space="0" w:color="auto"/>
          <w:bottom w:val="none" w:sz="0" w:space="0" w:color="auto"/>
          <w:right w:val="none" w:sz="0" w:space="0" w:color="auto"/>
        </w:pBdr>
        <w:spacing w:line="276" w:lineRule="auto"/>
        <w:ind w:left="0" w:firstLine="0"/>
        <w:rPr>
          <w:rFonts w:asciiTheme="minorHAnsi" w:hAnsiTheme="minorHAnsi" w:cstheme="minorHAnsi"/>
          <w:b/>
          <w:sz w:val="22"/>
          <w:szCs w:val="22"/>
        </w:rPr>
      </w:pPr>
    </w:p>
    <w:p w:rsidR="004C2CE1" w:rsidRDefault="004C2CE1" w:rsidP="000F343F">
      <w:pPr>
        <w:pStyle w:val="BodyTextIndent2"/>
        <w:pBdr>
          <w:top w:val="none" w:sz="0" w:space="0" w:color="auto"/>
          <w:left w:val="none" w:sz="0" w:space="0" w:color="auto"/>
          <w:bottom w:val="none" w:sz="0" w:space="0" w:color="auto"/>
          <w:right w:val="none" w:sz="0" w:space="0" w:color="auto"/>
        </w:pBdr>
        <w:spacing w:line="276" w:lineRule="auto"/>
        <w:ind w:left="0" w:firstLine="0"/>
        <w:rPr>
          <w:rFonts w:asciiTheme="minorHAnsi" w:hAnsiTheme="minorHAnsi" w:cstheme="minorHAnsi"/>
          <w:b/>
          <w:sz w:val="22"/>
          <w:szCs w:val="22"/>
        </w:rPr>
      </w:pPr>
    </w:p>
    <w:p w:rsidR="002F5A08" w:rsidRPr="000F343F" w:rsidRDefault="002F5A08" w:rsidP="000F343F">
      <w:pPr>
        <w:pStyle w:val="BodyTextIndent2"/>
        <w:pBdr>
          <w:top w:val="none" w:sz="0" w:space="0" w:color="auto"/>
          <w:left w:val="none" w:sz="0" w:space="0" w:color="auto"/>
          <w:bottom w:val="none" w:sz="0" w:space="0" w:color="auto"/>
          <w:right w:val="none" w:sz="0" w:space="0" w:color="auto"/>
        </w:pBdr>
        <w:spacing w:line="276" w:lineRule="auto"/>
        <w:ind w:left="0" w:firstLine="0"/>
        <w:rPr>
          <w:rFonts w:asciiTheme="minorHAnsi" w:hAnsiTheme="minorHAnsi" w:cstheme="minorHAnsi"/>
          <w:b/>
          <w:sz w:val="22"/>
          <w:szCs w:val="22"/>
        </w:rPr>
      </w:pPr>
    </w:p>
    <w:p w:rsidR="00AF0134" w:rsidRDefault="00590AF6" w:rsidP="00BC2F25">
      <w:pPr>
        <w:pStyle w:val="ListParagraph"/>
        <w:numPr>
          <w:ilvl w:val="0"/>
          <w:numId w:val="2"/>
        </w:numPr>
        <w:rPr>
          <w:rFonts w:asciiTheme="minorHAnsi" w:hAnsiTheme="minorHAnsi" w:cstheme="minorHAnsi"/>
          <w:b/>
        </w:rPr>
      </w:pPr>
      <w:r w:rsidRPr="000F343F">
        <w:rPr>
          <w:rFonts w:asciiTheme="minorHAnsi" w:hAnsiTheme="minorHAnsi" w:cstheme="minorHAnsi"/>
          <w:b/>
        </w:rPr>
        <w:t xml:space="preserve">Pending Bills </w:t>
      </w:r>
    </w:p>
    <w:p w:rsidR="00590AF6" w:rsidRPr="000F343F" w:rsidRDefault="002C4861" w:rsidP="00FA72C4">
      <w:pPr>
        <w:rPr>
          <w:rFonts w:asciiTheme="minorHAnsi" w:hAnsiTheme="minorHAnsi" w:cstheme="minorHAnsi"/>
          <w:sz w:val="22"/>
          <w:szCs w:val="22"/>
        </w:rPr>
      </w:pPr>
      <w:r>
        <w:rPr>
          <w:rFonts w:asciiTheme="minorHAnsi" w:hAnsiTheme="minorHAnsi" w:cstheme="minorHAnsi"/>
          <w:sz w:val="22"/>
          <w:szCs w:val="22"/>
        </w:rPr>
        <w:t>T</w:t>
      </w:r>
      <w:r w:rsidR="00FA72C4" w:rsidRPr="000F343F">
        <w:rPr>
          <w:rFonts w:asciiTheme="minorHAnsi" w:hAnsiTheme="minorHAnsi" w:cstheme="minorHAnsi"/>
          <w:sz w:val="22"/>
          <w:szCs w:val="22"/>
        </w:rPr>
        <w:t>he following update</w:t>
      </w:r>
      <w:r>
        <w:rPr>
          <w:rFonts w:asciiTheme="minorHAnsi" w:hAnsiTheme="minorHAnsi" w:cstheme="minorHAnsi"/>
          <w:sz w:val="22"/>
          <w:szCs w:val="22"/>
        </w:rPr>
        <w:t xml:space="preserve"> was provided</w:t>
      </w:r>
      <w:r w:rsidR="00FA72C4" w:rsidRPr="000F343F">
        <w:rPr>
          <w:rFonts w:asciiTheme="minorHAnsi" w:hAnsiTheme="minorHAnsi" w:cstheme="minorHAnsi"/>
          <w:sz w:val="22"/>
          <w:szCs w:val="22"/>
        </w:rPr>
        <w:t xml:space="preserve">: </w:t>
      </w:r>
    </w:p>
    <w:p w:rsidR="00FA72C4" w:rsidRPr="000F343F" w:rsidRDefault="00FA72C4" w:rsidP="00FA72C4">
      <w:pPr>
        <w:rPr>
          <w:rFonts w:asciiTheme="minorHAnsi" w:hAnsiTheme="minorHAnsi" w:cstheme="minorHAnsi"/>
          <w:b/>
          <w:sz w:val="22"/>
          <w:szCs w:val="22"/>
        </w:rPr>
      </w:pPr>
    </w:p>
    <w:p w:rsidR="00590AF6" w:rsidRPr="000F343F" w:rsidRDefault="00590AF6" w:rsidP="00FA72C4">
      <w:pPr>
        <w:rPr>
          <w:rFonts w:asciiTheme="minorHAnsi" w:hAnsiTheme="minorHAnsi" w:cstheme="minorHAnsi"/>
          <w:b/>
          <w:sz w:val="22"/>
          <w:szCs w:val="22"/>
        </w:rPr>
      </w:pPr>
      <w:r w:rsidRPr="000F343F">
        <w:rPr>
          <w:rFonts w:asciiTheme="minorHAnsi" w:hAnsiTheme="minorHAnsi" w:cstheme="minorHAnsi"/>
          <w:b/>
          <w:sz w:val="22"/>
          <w:szCs w:val="22"/>
        </w:rPr>
        <w:t>General Scheme of the Companies (Corporate Enforcement Authority) Bill 2018</w:t>
      </w:r>
    </w:p>
    <w:p w:rsidR="00FA72C4" w:rsidRPr="000F343F" w:rsidRDefault="00FA72C4" w:rsidP="00FA72C4">
      <w:pPr>
        <w:spacing w:line="276" w:lineRule="auto"/>
        <w:rPr>
          <w:rFonts w:asciiTheme="minorHAnsi" w:hAnsiTheme="minorHAnsi" w:cstheme="minorHAnsi"/>
          <w:iCs/>
          <w:sz w:val="22"/>
          <w:szCs w:val="22"/>
        </w:rPr>
      </w:pPr>
      <w:r w:rsidRPr="000F343F">
        <w:rPr>
          <w:rFonts w:asciiTheme="minorHAnsi" w:hAnsiTheme="minorHAnsi" w:cstheme="minorHAnsi"/>
          <w:iCs/>
          <w:sz w:val="22"/>
          <w:szCs w:val="22"/>
        </w:rPr>
        <w:t>The General Scheme of this Bill was approved by Government and published on 4 December 2018. The main features of the Bill were agreed as part of the Government’s decision to adopt its package of ‘Measures to Enhance Ireland’s Corporate, Economic and Regulatory Framework’ (subtitled ‘Ireland combating “white collar crime”) (published November 2017).</w:t>
      </w:r>
    </w:p>
    <w:p w:rsidR="00FA72C4" w:rsidRPr="000F343F" w:rsidRDefault="00FA72C4" w:rsidP="00FA72C4">
      <w:pPr>
        <w:spacing w:line="276" w:lineRule="auto"/>
        <w:rPr>
          <w:rFonts w:asciiTheme="minorHAnsi" w:hAnsiTheme="minorHAnsi" w:cstheme="minorHAnsi"/>
          <w:iCs/>
          <w:sz w:val="22"/>
          <w:szCs w:val="22"/>
        </w:rPr>
      </w:pPr>
    </w:p>
    <w:p w:rsidR="00FA72C4" w:rsidRPr="000F343F" w:rsidRDefault="00FA72C4" w:rsidP="00FA72C4">
      <w:pPr>
        <w:spacing w:line="276" w:lineRule="auto"/>
        <w:rPr>
          <w:rFonts w:asciiTheme="minorHAnsi" w:hAnsiTheme="minorHAnsi" w:cstheme="minorHAnsi"/>
          <w:iCs/>
          <w:sz w:val="22"/>
          <w:szCs w:val="22"/>
        </w:rPr>
      </w:pPr>
      <w:r w:rsidRPr="000F343F">
        <w:rPr>
          <w:rFonts w:asciiTheme="minorHAnsi" w:hAnsiTheme="minorHAnsi" w:cstheme="minorHAnsi"/>
          <w:iCs/>
          <w:sz w:val="22"/>
          <w:szCs w:val="22"/>
        </w:rPr>
        <w:t>The General Scheme provides for the establishment of the Corporate Enforcement Authority with all the same functions and powers that the Director of Corporate Enforcement has with some modifications to reflect a new commission structure. Head 9 (Membership of the Authority) provides for up to 3 full time Commissioners and is designed to give the Authority the flexibility to structure itself to meet the differing demands of its remit, which includes investigation, prosecution, supervision, and advocacy, and along clear lines of responsibility. Head 11 (Staff of the Authority) gives the Authority the ability to appoint its own staff. The General Scheme also provides for new investigative tools, notably new search and entry powers to enhance the Authority’s ability to gather evidence that is help electronically.  Parts 3, 4 and 5 make amendments to the Companies Act 2014 to give effect to certain recommendations of the CLRG in relation to share capital, corporate governance and unsecured creditors.</w:t>
      </w:r>
    </w:p>
    <w:p w:rsidR="00FA72C4" w:rsidRPr="000F343F" w:rsidRDefault="00FA72C4" w:rsidP="00FA72C4">
      <w:pPr>
        <w:spacing w:line="276" w:lineRule="auto"/>
        <w:rPr>
          <w:rFonts w:asciiTheme="minorHAnsi" w:hAnsiTheme="minorHAnsi" w:cstheme="minorHAnsi"/>
          <w:iCs/>
          <w:sz w:val="22"/>
          <w:szCs w:val="22"/>
        </w:rPr>
      </w:pPr>
    </w:p>
    <w:p w:rsidR="00FA72C4" w:rsidRPr="000F343F" w:rsidRDefault="00FA72C4" w:rsidP="00FA72C4">
      <w:pPr>
        <w:spacing w:line="276" w:lineRule="auto"/>
        <w:rPr>
          <w:rFonts w:asciiTheme="minorHAnsi" w:hAnsiTheme="minorHAnsi" w:cstheme="minorHAnsi"/>
          <w:iCs/>
          <w:sz w:val="22"/>
          <w:szCs w:val="22"/>
        </w:rPr>
      </w:pPr>
      <w:r w:rsidRPr="000F343F">
        <w:rPr>
          <w:rFonts w:asciiTheme="minorHAnsi" w:hAnsiTheme="minorHAnsi" w:cstheme="minorHAnsi"/>
          <w:iCs/>
          <w:sz w:val="22"/>
          <w:szCs w:val="22"/>
        </w:rPr>
        <w:t xml:space="preserve">The Joint Oireachtas Committee on Business, Enterprise and Innovation is currently undertaking Pre-Legislative Scrutiny on the Bill and officials from the Department briefed the Committee on 5 February 2019. The Director of Corporate Enforcement appeared before the Committee on 19 February 2019. The Chair of the CLRG and Vincent Madigan appeared before the Committee on 2 April 2019 as did representatives from the Law Reform Commission. A date for the Minister’s appearance has still to be confirmed. </w:t>
      </w:r>
    </w:p>
    <w:p w:rsidR="00FA72C4" w:rsidRPr="000F343F" w:rsidRDefault="00FA72C4" w:rsidP="00FA72C4">
      <w:pPr>
        <w:spacing w:line="276" w:lineRule="auto"/>
        <w:rPr>
          <w:rFonts w:asciiTheme="minorHAnsi" w:hAnsiTheme="minorHAnsi" w:cstheme="minorHAnsi"/>
          <w:iCs/>
          <w:sz w:val="22"/>
          <w:szCs w:val="22"/>
        </w:rPr>
      </w:pPr>
    </w:p>
    <w:p w:rsidR="00FA72C4" w:rsidRPr="000F343F" w:rsidRDefault="00FA72C4" w:rsidP="00FA72C4">
      <w:pPr>
        <w:spacing w:line="276" w:lineRule="auto"/>
        <w:rPr>
          <w:rFonts w:asciiTheme="minorHAnsi" w:hAnsiTheme="minorHAnsi" w:cstheme="minorHAnsi"/>
          <w:iCs/>
          <w:sz w:val="22"/>
          <w:szCs w:val="22"/>
        </w:rPr>
      </w:pPr>
      <w:r w:rsidRPr="000F343F">
        <w:rPr>
          <w:rFonts w:asciiTheme="minorHAnsi" w:hAnsiTheme="minorHAnsi" w:cstheme="minorHAnsi"/>
          <w:iCs/>
          <w:sz w:val="22"/>
          <w:szCs w:val="22"/>
        </w:rPr>
        <w:t>A drafter from the Office of the Parliamentary Counsel has been assigned and has worked with the Department to complete a draft of the Bill for publication. Publication of which will depend on the outcome of pre-legislative scrutiny.</w:t>
      </w:r>
    </w:p>
    <w:p w:rsidR="00590AF6" w:rsidRPr="000F343F" w:rsidRDefault="00590AF6" w:rsidP="00D0276A">
      <w:pPr>
        <w:rPr>
          <w:rFonts w:asciiTheme="minorHAnsi" w:hAnsiTheme="minorHAnsi" w:cstheme="minorHAnsi"/>
          <w:sz w:val="22"/>
          <w:szCs w:val="22"/>
        </w:rPr>
      </w:pPr>
    </w:p>
    <w:p w:rsidR="00590AF6" w:rsidRDefault="000F343F" w:rsidP="00FA72C4">
      <w:pPr>
        <w:rPr>
          <w:rFonts w:asciiTheme="minorHAnsi" w:hAnsiTheme="minorHAnsi" w:cstheme="minorHAnsi"/>
          <w:b/>
          <w:sz w:val="22"/>
          <w:szCs w:val="22"/>
        </w:rPr>
      </w:pPr>
      <w:r w:rsidRPr="000F343F">
        <w:rPr>
          <w:rFonts w:asciiTheme="minorHAnsi" w:hAnsiTheme="minorHAnsi" w:cstheme="minorHAnsi"/>
          <w:b/>
          <w:sz w:val="22"/>
          <w:szCs w:val="22"/>
        </w:rPr>
        <w:t>T</w:t>
      </w:r>
      <w:r w:rsidR="00590AF6" w:rsidRPr="000F343F">
        <w:rPr>
          <w:rFonts w:asciiTheme="minorHAnsi" w:hAnsiTheme="minorHAnsi" w:cstheme="minorHAnsi"/>
          <w:b/>
          <w:sz w:val="22"/>
          <w:szCs w:val="22"/>
        </w:rPr>
        <w:t>he Migration of Participating Securities Bill 2019</w:t>
      </w:r>
    </w:p>
    <w:p w:rsidR="008010A6" w:rsidRPr="000F343F" w:rsidRDefault="008010A6" w:rsidP="00FA72C4">
      <w:pPr>
        <w:rPr>
          <w:rFonts w:asciiTheme="minorHAnsi" w:hAnsiTheme="minorHAnsi" w:cstheme="minorHAnsi"/>
          <w:b/>
          <w:sz w:val="22"/>
          <w:szCs w:val="22"/>
        </w:rPr>
      </w:pPr>
    </w:p>
    <w:p w:rsidR="008010A6" w:rsidRPr="0065168A" w:rsidRDefault="008010A6" w:rsidP="008010A6">
      <w:pPr>
        <w:spacing w:after="120"/>
        <w:contextualSpacing/>
        <w:rPr>
          <w:rFonts w:asciiTheme="minorHAnsi" w:hAnsiTheme="minorHAnsi" w:cstheme="minorHAnsi"/>
          <w:color w:val="000000" w:themeColor="text1"/>
          <w:sz w:val="22"/>
          <w:szCs w:val="22"/>
        </w:rPr>
      </w:pPr>
      <w:r w:rsidRPr="0065168A">
        <w:rPr>
          <w:rFonts w:asciiTheme="minorHAnsi" w:hAnsiTheme="minorHAnsi" w:cstheme="minorHAnsi"/>
          <w:color w:val="000000" w:themeColor="text1"/>
          <w:sz w:val="22"/>
          <w:szCs w:val="22"/>
        </w:rPr>
        <w:t>Government approved the drafting of the Migration of Participation Securities Bill 2019 on 17</w:t>
      </w:r>
      <w:r w:rsidRPr="0065168A">
        <w:rPr>
          <w:rFonts w:asciiTheme="minorHAnsi" w:hAnsiTheme="minorHAnsi" w:cstheme="minorHAnsi"/>
          <w:color w:val="000000" w:themeColor="text1"/>
          <w:sz w:val="22"/>
          <w:szCs w:val="22"/>
          <w:vertAlign w:val="superscript"/>
        </w:rPr>
        <w:t>th</w:t>
      </w:r>
      <w:r w:rsidRPr="0065168A">
        <w:rPr>
          <w:rFonts w:asciiTheme="minorHAnsi" w:hAnsiTheme="minorHAnsi" w:cstheme="minorHAnsi"/>
          <w:color w:val="000000" w:themeColor="text1"/>
          <w:sz w:val="22"/>
          <w:szCs w:val="22"/>
        </w:rPr>
        <w:t xml:space="preserve"> July 2019.The legislation facilitates the long-term transition of the Irish Securities Market from its current settlement system based in London to another Central Securities Depository based within the European Union. </w:t>
      </w:r>
    </w:p>
    <w:p w:rsidR="008010A6" w:rsidRPr="0065168A" w:rsidRDefault="008010A6" w:rsidP="008010A6">
      <w:pPr>
        <w:spacing w:after="120"/>
        <w:contextualSpacing/>
        <w:rPr>
          <w:rFonts w:asciiTheme="minorHAnsi" w:hAnsiTheme="minorHAnsi" w:cstheme="minorHAnsi"/>
          <w:color w:val="000000" w:themeColor="text1"/>
          <w:sz w:val="22"/>
          <w:szCs w:val="22"/>
        </w:rPr>
      </w:pPr>
      <w:r w:rsidRPr="0065168A">
        <w:rPr>
          <w:rFonts w:asciiTheme="minorHAnsi" w:hAnsiTheme="minorHAnsi" w:cstheme="minorHAnsi"/>
          <w:color w:val="000000" w:themeColor="text1"/>
          <w:sz w:val="22"/>
          <w:szCs w:val="22"/>
        </w:rPr>
        <w:lastRenderedPageBreak/>
        <w:t xml:space="preserve">The legislation is part of the Government’s response to the direct impact of the decision of the United Kingdom to leave the EU. Brexit means that the Irish market will no longer </w:t>
      </w:r>
      <w:r w:rsidR="0065168A" w:rsidRPr="0065168A">
        <w:rPr>
          <w:rFonts w:asciiTheme="minorHAnsi" w:hAnsiTheme="minorHAnsi" w:cstheme="minorHAnsi"/>
          <w:color w:val="000000" w:themeColor="text1"/>
          <w:sz w:val="22"/>
          <w:szCs w:val="22"/>
        </w:rPr>
        <w:t>be able to access the current UK settlement system called CREST.</w:t>
      </w:r>
    </w:p>
    <w:p w:rsidR="0065168A" w:rsidRPr="0065168A" w:rsidRDefault="0065168A" w:rsidP="008010A6">
      <w:pPr>
        <w:spacing w:after="120"/>
        <w:contextualSpacing/>
        <w:rPr>
          <w:rFonts w:asciiTheme="minorHAnsi" w:hAnsiTheme="minorHAnsi" w:cstheme="minorHAnsi"/>
          <w:color w:val="000000" w:themeColor="text1"/>
          <w:sz w:val="22"/>
          <w:szCs w:val="22"/>
        </w:rPr>
      </w:pPr>
    </w:p>
    <w:p w:rsidR="0065168A" w:rsidRPr="0065168A" w:rsidRDefault="0065168A" w:rsidP="008010A6">
      <w:pPr>
        <w:spacing w:after="120"/>
        <w:contextualSpacing/>
        <w:rPr>
          <w:rFonts w:asciiTheme="minorHAnsi" w:hAnsiTheme="minorHAnsi" w:cstheme="minorHAnsi"/>
          <w:color w:val="000000" w:themeColor="text1"/>
          <w:sz w:val="22"/>
          <w:szCs w:val="22"/>
        </w:rPr>
      </w:pPr>
      <w:r w:rsidRPr="0065168A">
        <w:rPr>
          <w:rFonts w:asciiTheme="minorHAnsi" w:hAnsiTheme="minorHAnsi" w:cstheme="minorHAnsi"/>
          <w:color w:val="000000" w:themeColor="text1"/>
          <w:sz w:val="22"/>
          <w:szCs w:val="22"/>
        </w:rPr>
        <w:t>In the event of a “Hard Brexit”, the European Commission has adopted a temporary and conditional equivalence decision for UK based Central Securities Depositories. This equivalence decision for UK based CSDs expires on the 31</w:t>
      </w:r>
      <w:r w:rsidRPr="0065168A">
        <w:rPr>
          <w:rFonts w:asciiTheme="minorHAnsi" w:hAnsiTheme="minorHAnsi" w:cstheme="minorHAnsi"/>
          <w:color w:val="000000" w:themeColor="text1"/>
          <w:sz w:val="22"/>
          <w:szCs w:val="22"/>
          <w:vertAlign w:val="superscript"/>
        </w:rPr>
        <w:t>st</w:t>
      </w:r>
      <w:r w:rsidRPr="0065168A">
        <w:rPr>
          <w:rFonts w:asciiTheme="minorHAnsi" w:hAnsiTheme="minorHAnsi" w:cstheme="minorHAnsi"/>
          <w:color w:val="000000" w:themeColor="text1"/>
          <w:sz w:val="22"/>
          <w:szCs w:val="22"/>
        </w:rPr>
        <w:t xml:space="preserve"> March 2021. Thus</w:t>
      </w:r>
      <w:r>
        <w:rPr>
          <w:rFonts w:asciiTheme="minorHAnsi" w:hAnsiTheme="minorHAnsi" w:cstheme="minorHAnsi"/>
          <w:color w:val="000000" w:themeColor="text1"/>
          <w:sz w:val="22"/>
          <w:szCs w:val="22"/>
        </w:rPr>
        <w:t>,</w:t>
      </w:r>
      <w:r w:rsidRPr="0065168A">
        <w:rPr>
          <w:rFonts w:asciiTheme="minorHAnsi" w:hAnsiTheme="minorHAnsi" w:cstheme="minorHAnsi"/>
          <w:color w:val="000000" w:themeColor="text1"/>
          <w:sz w:val="22"/>
          <w:szCs w:val="22"/>
        </w:rPr>
        <w:t xml:space="preserve"> migration to the new system must be completed by this date.</w:t>
      </w:r>
    </w:p>
    <w:p w:rsidR="008010A6" w:rsidRPr="0065168A" w:rsidRDefault="008010A6" w:rsidP="008010A6">
      <w:pPr>
        <w:spacing w:after="120"/>
        <w:contextualSpacing/>
        <w:rPr>
          <w:rFonts w:asciiTheme="minorHAnsi" w:hAnsiTheme="minorHAnsi" w:cstheme="minorHAnsi"/>
          <w:color w:val="000000" w:themeColor="text1"/>
          <w:sz w:val="22"/>
          <w:szCs w:val="22"/>
        </w:rPr>
      </w:pPr>
    </w:p>
    <w:p w:rsidR="008010A6" w:rsidRPr="0065168A" w:rsidRDefault="008010A6" w:rsidP="008010A6">
      <w:pPr>
        <w:rPr>
          <w:rFonts w:asciiTheme="minorHAnsi" w:hAnsiTheme="minorHAnsi" w:cstheme="minorHAnsi"/>
          <w:color w:val="000000" w:themeColor="text1"/>
          <w:sz w:val="22"/>
          <w:szCs w:val="22"/>
        </w:rPr>
      </w:pPr>
      <w:r w:rsidRPr="0065168A">
        <w:rPr>
          <w:rFonts w:asciiTheme="minorHAnsi" w:hAnsiTheme="minorHAnsi" w:cstheme="minorHAnsi"/>
          <w:color w:val="000000" w:themeColor="text1"/>
          <w:sz w:val="22"/>
          <w:szCs w:val="22"/>
        </w:rPr>
        <w:t>The Bill is a priority for Government in the Autumn term as part of its overall Brexit preparations and was initiated on the 20</w:t>
      </w:r>
      <w:r w:rsidRPr="0065168A">
        <w:rPr>
          <w:rFonts w:asciiTheme="minorHAnsi" w:hAnsiTheme="minorHAnsi" w:cstheme="minorHAnsi"/>
          <w:color w:val="000000" w:themeColor="text1"/>
          <w:sz w:val="22"/>
          <w:szCs w:val="22"/>
          <w:vertAlign w:val="superscript"/>
        </w:rPr>
        <w:t>th</w:t>
      </w:r>
      <w:r w:rsidRPr="0065168A">
        <w:rPr>
          <w:rFonts w:asciiTheme="minorHAnsi" w:hAnsiTheme="minorHAnsi" w:cstheme="minorHAnsi"/>
          <w:color w:val="000000" w:themeColor="text1"/>
          <w:sz w:val="22"/>
          <w:szCs w:val="22"/>
        </w:rPr>
        <w:t xml:space="preserve"> of November</w:t>
      </w:r>
      <w:r w:rsidR="008B7AB4">
        <w:rPr>
          <w:rFonts w:asciiTheme="minorHAnsi" w:hAnsiTheme="minorHAnsi" w:cstheme="minorHAnsi"/>
          <w:color w:val="000000" w:themeColor="text1"/>
          <w:sz w:val="22"/>
          <w:szCs w:val="22"/>
        </w:rPr>
        <w:t xml:space="preserve"> and </w:t>
      </w:r>
      <w:r w:rsidR="00DE2D62">
        <w:rPr>
          <w:rFonts w:asciiTheme="minorHAnsi" w:hAnsiTheme="minorHAnsi" w:cstheme="minorHAnsi"/>
          <w:color w:val="000000" w:themeColor="text1"/>
          <w:sz w:val="22"/>
          <w:szCs w:val="22"/>
        </w:rPr>
        <w:t>second stage on Tuesday 26</w:t>
      </w:r>
      <w:r w:rsidR="00DE2D62" w:rsidRPr="00DE2D62">
        <w:rPr>
          <w:rFonts w:asciiTheme="minorHAnsi" w:hAnsiTheme="minorHAnsi" w:cstheme="minorHAnsi"/>
          <w:color w:val="000000" w:themeColor="text1"/>
          <w:sz w:val="22"/>
          <w:szCs w:val="22"/>
          <w:vertAlign w:val="superscript"/>
        </w:rPr>
        <w:t>th</w:t>
      </w:r>
      <w:r w:rsidR="00DE2D62">
        <w:rPr>
          <w:rFonts w:asciiTheme="minorHAnsi" w:hAnsiTheme="minorHAnsi" w:cstheme="minorHAnsi"/>
          <w:color w:val="000000" w:themeColor="text1"/>
          <w:sz w:val="22"/>
          <w:szCs w:val="22"/>
        </w:rPr>
        <w:t xml:space="preserve"> November</w:t>
      </w:r>
      <w:r w:rsidRPr="0065168A">
        <w:rPr>
          <w:rFonts w:asciiTheme="minorHAnsi" w:hAnsiTheme="minorHAnsi" w:cstheme="minorHAnsi"/>
          <w:color w:val="000000" w:themeColor="text1"/>
          <w:sz w:val="22"/>
          <w:szCs w:val="22"/>
        </w:rPr>
        <w:t xml:space="preserve">. </w:t>
      </w:r>
    </w:p>
    <w:p w:rsidR="008010A6" w:rsidRPr="000F343F" w:rsidRDefault="008010A6" w:rsidP="008010A6">
      <w:pPr>
        <w:rPr>
          <w:rFonts w:asciiTheme="minorHAnsi" w:hAnsiTheme="minorHAnsi" w:cstheme="minorHAnsi"/>
          <w:sz w:val="22"/>
          <w:szCs w:val="22"/>
        </w:rPr>
      </w:pPr>
    </w:p>
    <w:p w:rsidR="00590AF6" w:rsidRDefault="00590AF6" w:rsidP="00FA72C4">
      <w:pPr>
        <w:rPr>
          <w:rFonts w:asciiTheme="minorHAnsi" w:hAnsiTheme="minorHAnsi" w:cstheme="minorHAnsi"/>
          <w:b/>
          <w:sz w:val="22"/>
          <w:szCs w:val="22"/>
        </w:rPr>
      </w:pPr>
      <w:r w:rsidRPr="000F343F">
        <w:rPr>
          <w:rFonts w:asciiTheme="minorHAnsi" w:hAnsiTheme="minorHAnsi" w:cstheme="minorHAnsi"/>
          <w:b/>
          <w:sz w:val="22"/>
          <w:szCs w:val="22"/>
        </w:rPr>
        <w:t>Finance (Tax Appeals and Prospectus Regulation) Bill 2019</w:t>
      </w:r>
    </w:p>
    <w:p w:rsidR="00717E57" w:rsidRPr="00243E00" w:rsidRDefault="00243E00" w:rsidP="00A85AF3">
      <w:pPr>
        <w:spacing w:line="271" w:lineRule="auto"/>
        <w:rPr>
          <w:rFonts w:asciiTheme="minorHAnsi" w:hAnsiTheme="minorHAnsi" w:cstheme="minorHAnsi"/>
          <w:sz w:val="22"/>
          <w:szCs w:val="22"/>
          <w:lang w:val="en-GB" w:eastAsia="en-GB"/>
        </w:rPr>
      </w:pPr>
      <w:r>
        <w:rPr>
          <w:rFonts w:asciiTheme="minorHAnsi" w:hAnsiTheme="minorHAnsi" w:cstheme="minorHAnsi"/>
          <w:sz w:val="22"/>
          <w:szCs w:val="22"/>
          <w:lang w:val="en-GB" w:eastAsia="en-GB"/>
        </w:rPr>
        <w:t>Further to the update given in October, t</w:t>
      </w:r>
      <w:r w:rsidRPr="00243E00">
        <w:rPr>
          <w:rFonts w:asciiTheme="minorHAnsi" w:hAnsiTheme="minorHAnsi" w:cstheme="minorHAnsi"/>
          <w:sz w:val="22"/>
          <w:szCs w:val="22"/>
          <w:lang w:val="en-GB" w:eastAsia="en-GB"/>
        </w:rPr>
        <w:t>he Bill</w:t>
      </w:r>
      <w:r>
        <w:rPr>
          <w:rFonts w:asciiTheme="minorHAnsi" w:hAnsiTheme="minorHAnsi" w:cstheme="minorHAnsi"/>
          <w:sz w:val="22"/>
          <w:szCs w:val="22"/>
          <w:lang w:val="en-GB" w:eastAsia="en-GB"/>
        </w:rPr>
        <w:t xml:space="preserve"> has now</w:t>
      </w:r>
      <w:r w:rsidRPr="00243E00">
        <w:rPr>
          <w:rFonts w:asciiTheme="minorHAnsi" w:hAnsiTheme="minorHAnsi" w:cstheme="minorHAnsi"/>
          <w:sz w:val="22"/>
          <w:szCs w:val="22"/>
          <w:lang w:val="en-GB" w:eastAsia="en-GB"/>
        </w:rPr>
        <w:t xml:space="preserve"> completed second stage in the Seanad</w:t>
      </w:r>
      <w:r>
        <w:rPr>
          <w:rFonts w:asciiTheme="minorHAnsi" w:hAnsiTheme="minorHAnsi" w:cstheme="minorHAnsi"/>
          <w:sz w:val="22"/>
          <w:szCs w:val="22"/>
          <w:lang w:val="en-GB" w:eastAsia="en-GB"/>
        </w:rPr>
        <w:t xml:space="preserve">. </w:t>
      </w:r>
    </w:p>
    <w:p w:rsidR="00243E00" w:rsidRPr="000F343F" w:rsidRDefault="00243E00" w:rsidP="00A85AF3">
      <w:pPr>
        <w:spacing w:line="271" w:lineRule="auto"/>
        <w:rPr>
          <w:rFonts w:asciiTheme="minorHAnsi" w:hAnsiTheme="minorHAnsi" w:cstheme="minorHAnsi"/>
          <w:sz w:val="22"/>
          <w:szCs w:val="22"/>
        </w:rPr>
      </w:pPr>
    </w:p>
    <w:p w:rsidR="000B67E7" w:rsidRDefault="00590AF6" w:rsidP="006C3150">
      <w:pPr>
        <w:pStyle w:val="BodyTextIndent2"/>
        <w:numPr>
          <w:ilvl w:val="0"/>
          <w:numId w:val="2"/>
        </w:numPr>
        <w:pBdr>
          <w:top w:val="none" w:sz="0" w:space="0" w:color="auto"/>
          <w:left w:val="none" w:sz="0" w:space="0" w:color="auto"/>
          <w:bottom w:val="none" w:sz="0" w:space="0" w:color="auto"/>
          <w:right w:val="none" w:sz="0" w:space="0" w:color="auto"/>
        </w:pBdr>
        <w:spacing w:line="276" w:lineRule="auto"/>
        <w:rPr>
          <w:rFonts w:asciiTheme="minorHAnsi" w:hAnsiTheme="minorHAnsi" w:cstheme="minorHAnsi"/>
          <w:b/>
          <w:sz w:val="22"/>
          <w:szCs w:val="22"/>
        </w:rPr>
      </w:pPr>
      <w:r w:rsidRPr="000F343F">
        <w:rPr>
          <w:rFonts w:asciiTheme="minorHAnsi" w:hAnsiTheme="minorHAnsi" w:cstheme="minorHAnsi"/>
          <w:b/>
          <w:color w:val="222222"/>
          <w:sz w:val="22"/>
          <w:szCs w:val="22"/>
          <w:lang w:eastAsia="en-IE"/>
        </w:rPr>
        <w:t>Committee updat</w:t>
      </w:r>
      <w:r w:rsidRPr="000F343F">
        <w:rPr>
          <w:rFonts w:asciiTheme="minorHAnsi" w:hAnsiTheme="minorHAnsi" w:cstheme="minorHAnsi"/>
          <w:b/>
          <w:sz w:val="22"/>
          <w:szCs w:val="22"/>
        </w:rPr>
        <w:t xml:space="preserve">es </w:t>
      </w:r>
    </w:p>
    <w:p w:rsidR="00590AF6" w:rsidRDefault="00590AF6" w:rsidP="002C4861">
      <w:pPr>
        <w:pStyle w:val="BodyTextIndent2"/>
        <w:pBdr>
          <w:top w:val="none" w:sz="0" w:space="0" w:color="auto"/>
          <w:left w:val="none" w:sz="0" w:space="0" w:color="auto"/>
          <w:bottom w:val="none" w:sz="0" w:space="0" w:color="auto"/>
          <w:right w:val="none" w:sz="0" w:space="0" w:color="auto"/>
        </w:pBdr>
        <w:spacing w:line="276" w:lineRule="auto"/>
        <w:rPr>
          <w:rFonts w:asciiTheme="minorHAnsi" w:hAnsiTheme="minorHAnsi" w:cstheme="minorHAnsi"/>
          <w:sz w:val="22"/>
          <w:szCs w:val="22"/>
        </w:rPr>
      </w:pPr>
    </w:p>
    <w:p w:rsidR="002C4861" w:rsidRDefault="002F5A08" w:rsidP="002C4861">
      <w:pPr>
        <w:pStyle w:val="BodyTextIndent2"/>
        <w:pBdr>
          <w:top w:val="none" w:sz="0" w:space="0" w:color="auto"/>
          <w:left w:val="none" w:sz="0" w:space="0" w:color="auto"/>
          <w:bottom w:val="none" w:sz="0" w:space="0" w:color="auto"/>
          <w:right w:val="none" w:sz="0" w:space="0" w:color="auto"/>
        </w:pBdr>
        <w:spacing w:line="276" w:lineRule="auto"/>
        <w:rPr>
          <w:rFonts w:asciiTheme="minorHAnsi" w:hAnsiTheme="minorHAnsi" w:cstheme="minorHAnsi"/>
          <w:sz w:val="22"/>
          <w:szCs w:val="22"/>
        </w:rPr>
      </w:pPr>
      <w:r>
        <w:rPr>
          <w:rFonts w:asciiTheme="minorHAnsi" w:hAnsiTheme="minorHAnsi" w:cstheme="minorHAnsi"/>
          <w:sz w:val="22"/>
          <w:szCs w:val="22"/>
        </w:rPr>
        <w:t xml:space="preserve">Updates were given by the various Committee Chairs </w:t>
      </w:r>
      <w:r w:rsidR="002C4861">
        <w:rPr>
          <w:rFonts w:asciiTheme="minorHAnsi" w:hAnsiTheme="minorHAnsi" w:cstheme="minorHAnsi"/>
          <w:sz w:val="22"/>
          <w:szCs w:val="22"/>
        </w:rPr>
        <w:t>as provided below.</w:t>
      </w:r>
    </w:p>
    <w:p w:rsidR="002C4861" w:rsidRPr="000F343F" w:rsidRDefault="002C4861" w:rsidP="002C4861">
      <w:pPr>
        <w:pStyle w:val="BodyTextIndent2"/>
        <w:pBdr>
          <w:top w:val="none" w:sz="0" w:space="0" w:color="auto"/>
          <w:left w:val="none" w:sz="0" w:space="0" w:color="auto"/>
          <w:bottom w:val="none" w:sz="0" w:space="0" w:color="auto"/>
          <w:right w:val="none" w:sz="0" w:space="0" w:color="auto"/>
        </w:pBdr>
        <w:spacing w:line="276" w:lineRule="auto"/>
        <w:rPr>
          <w:rFonts w:asciiTheme="minorHAnsi" w:hAnsiTheme="minorHAnsi" w:cstheme="minorHAnsi"/>
          <w:b/>
          <w:sz w:val="22"/>
          <w:szCs w:val="22"/>
        </w:rPr>
      </w:pPr>
    </w:p>
    <w:p w:rsidR="00823C29" w:rsidRPr="002C4861" w:rsidRDefault="00590AF6" w:rsidP="005A77AE">
      <w:pPr>
        <w:rPr>
          <w:rFonts w:asciiTheme="minorHAnsi" w:hAnsiTheme="minorHAnsi" w:cstheme="minorHAnsi"/>
          <w:b/>
          <w:sz w:val="22"/>
          <w:szCs w:val="22"/>
        </w:rPr>
      </w:pPr>
      <w:r w:rsidRPr="000F343F">
        <w:rPr>
          <w:rFonts w:asciiTheme="minorHAnsi" w:hAnsiTheme="minorHAnsi" w:cstheme="minorHAnsi"/>
          <w:b/>
          <w:sz w:val="22"/>
          <w:szCs w:val="22"/>
        </w:rPr>
        <w:t>Corporate Enforcement Committee</w:t>
      </w:r>
    </w:p>
    <w:p w:rsidR="00243E00" w:rsidRPr="00823C29" w:rsidRDefault="005A77AE" w:rsidP="00243E00">
      <w:pPr>
        <w:rPr>
          <w:rFonts w:asciiTheme="minorHAnsi" w:hAnsiTheme="minorHAnsi" w:cstheme="minorHAnsi"/>
          <w:sz w:val="22"/>
          <w:szCs w:val="22"/>
        </w:rPr>
      </w:pPr>
      <w:r w:rsidRPr="00823C29">
        <w:rPr>
          <w:rFonts w:asciiTheme="minorHAnsi" w:hAnsiTheme="minorHAnsi" w:cstheme="minorHAnsi"/>
          <w:sz w:val="22"/>
          <w:szCs w:val="22"/>
        </w:rPr>
        <w:t>Further to the Committee Chairperson’s update at our last plenary,</w:t>
      </w:r>
      <w:r w:rsidR="00243E00" w:rsidRPr="00823C29">
        <w:rPr>
          <w:rFonts w:asciiTheme="minorHAnsi" w:hAnsiTheme="minorHAnsi" w:cstheme="minorHAnsi"/>
          <w:sz w:val="22"/>
          <w:szCs w:val="22"/>
        </w:rPr>
        <w:t xml:space="preserve"> a recommendation </w:t>
      </w:r>
      <w:r w:rsidR="00D2782C" w:rsidRPr="00823C29">
        <w:rPr>
          <w:rFonts w:asciiTheme="minorHAnsi" w:hAnsiTheme="minorHAnsi" w:cstheme="minorHAnsi"/>
          <w:sz w:val="22"/>
          <w:szCs w:val="22"/>
        </w:rPr>
        <w:t xml:space="preserve">will </w:t>
      </w:r>
      <w:r w:rsidR="00243E00" w:rsidRPr="00823C29">
        <w:rPr>
          <w:rFonts w:asciiTheme="minorHAnsi" w:hAnsiTheme="minorHAnsi" w:cstheme="minorHAnsi"/>
          <w:sz w:val="22"/>
          <w:szCs w:val="22"/>
        </w:rPr>
        <w:t xml:space="preserve">issue to the CLRG Chairman that the Committee’s work be deferred </w:t>
      </w:r>
      <w:r w:rsidR="00D2782C" w:rsidRPr="00823C29">
        <w:rPr>
          <w:rFonts w:asciiTheme="minorHAnsi" w:hAnsiTheme="minorHAnsi" w:cstheme="minorHAnsi"/>
          <w:sz w:val="22"/>
          <w:szCs w:val="22"/>
        </w:rPr>
        <w:t xml:space="preserve">while </w:t>
      </w:r>
      <w:r w:rsidR="00243E00" w:rsidRPr="00823C29">
        <w:rPr>
          <w:rFonts w:asciiTheme="minorHAnsi" w:hAnsiTheme="minorHAnsi" w:cstheme="minorHAnsi"/>
          <w:sz w:val="22"/>
          <w:szCs w:val="22"/>
        </w:rPr>
        <w:t>the</w:t>
      </w:r>
      <w:r w:rsidR="00D2782C" w:rsidRPr="00823C29">
        <w:rPr>
          <w:rFonts w:asciiTheme="minorHAnsi" w:hAnsiTheme="minorHAnsi" w:cstheme="minorHAnsi"/>
          <w:sz w:val="22"/>
          <w:szCs w:val="22"/>
        </w:rPr>
        <w:t xml:space="preserve"> Corporate Enforcement Bill is still under pre-legislative scrutiny and the LRC’s Report on Regulatory Powers and Corporate Offences is still under consideration by the Department of Justice. It is preferable that the</w:t>
      </w:r>
      <w:r w:rsidR="00243E00" w:rsidRPr="00823C29">
        <w:rPr>
          <w:rFonts w:asciiTheme="minorHAnsi" w:hAnsiTheme="minorHAnsi" w:cstheme="minorHAnsi"/>
          <w:sz w:val="22"/>
          <w:szCs w:val="22"/>
        </w:rPr>
        <w:t xml:space="preserve"> Committee consider the issues within its remit with the benefit of the results of those parallel processes and deliberations. </w:t>
      </w:r>
    </w:p>
    <w:p w:rsidR="00590AF6" w:rsidRPr="000F343F" w:rsidRDefault="00590AF6" w:rsidP="002F5A08">
      <w:pPr>
        <w:rPr>
          <w:rFonts w:asciiTheme="minorHAnsi" w:hAnsiTheme="minorHAnsi" w:cstheme="minorHAnsi"/>
          <w:sz w:val="22"/>
          <w:szCs w:val="22"/>
        </w:rPr>
      </w:pPr>
    </w:p>
    <w:p w:rsidR="00823C29" w:rsidRPr="002C4861" w:rsidRDefault="00590AF6" w:rsidP="005A77AE">
      <w:pPr>
        <w:rPr>
          <w:rFonts w:asciiTheme="minorHAnsi" w:hAnsiTheme="minorHAnsi" w:cstheme="minorHAnsi"/>
          <w:b/>
          <w:sz w:val="22"/>
          <w:szCs w:val="22"/>
        </w:rPr>
      </w:pPr>
      <w:r w:rsidRPr="000F343F">
        <w:rPr>
          <w:rFonts w:asciiTheme="minorHAnsi" w:hAnsiTheme="minorHAnsi" w:cstheme="minorHAnsi"/>
          <w:b/>
          <w:sz w:val="22"/>
          <w:szCs w:val="22"/>
        </w:rPr>
        <w:t>Corporate Governance Committee</w:t>
      </w:r>
    </w:p>
    <w:p w:rsidR="005A77AE" w:rsidRPr="000F343F" w:rsidRDefault="005A77AE" w:rsidP="005A77AE">
      <w:pPr>
        <w:rPr>
          <w:rFonts w:asciiTheme="minorHAnsi" w:hAnsiTheme="minorHAnsi" w:cstheme="minorHAnsi"/>
          <w:sz w:val="22"/>
          <w:szCs w:val="22"/>
        </w:rPr>
      </w:pPr>
      <w:r w:rsidRPr="000F343F">
        <w:rPr>
          <w:rFonts w:asciiTheme="minorHAnsi" w:hAnsiTheme="minorHAnsi" w:cstheme="minorHAnsi"/>
          <w:sz w:val="22"/>
          <w:szCs w:val="22"/>
        </w:rPr>
        <w:t xml:space="preserve">Further to its adoption at our last plenary, the Committee’s report on the Summary Approval Procedure will be submitted to the Minister before Christmas. </w:t>
      </w:r>
      <w:r w:rsidRPr="000F343F">
        <w:rPr>
          <w:rFonts w:asciiTheme="minorHAnsi" w:hAnsiTheme="minorHAnsi" w:cstheme="minorHAnsi"/>
          <w:sz w:val="22"/>
          <w:szCs w:val="22"/>
        </w:rPr>
        <w:br/>
      </w:r>
      <w:r w:rsidRPr="000F343F">
        <w:rPr>
          <w:rFonts w:asciiTheme="minorHAnsi" w:hAnsiTheme="minorHAnsi" w:cstheme="minorHAnsi"/>
          <w:sz w:val="22"/>
          <w:szCs w:val="22"/>
        </w:rPr>
        <w:br/>
        <w:t xml:space="preserve">The Committee continues to work through </w:t>
      </w:r>
      <w:proofErr w:type="gramStart"/>
      <w:r w:rsidRPr="000F343F">
        <w:rPr>
          <w:rFonts w:asciiTheme="minorHAnsi" w:hAnsiTheme="minorHAnsi" w:cstheme="minorHAnsi"/>
          <w:sz w:val="22"/>
          <w:szCs w:val="22"/>
        </w:rPr>
        <w:t>a number of</w:t>
      </w:r>
      <w:proofErr w:type="gramEnd"/>
      <w:r w:rsidRPr="000F343F">
        <w:rPr>
          <w:rFonts w:asciiTheme="minorHAnsi" w:hAnsiTheme="minorHAnsi" w:cstheme="minorHAnsi"/>
          <w:sz w:val="22"/>
          <w:szCs w:val="22"/>
        </w:rPr>
        <w:t xml:space="preserve"> miscellaneous items referred to it by the Chairperson and hope to make a submission to the Department by the end of February, in time for the Review Group’s Annual Report. </w:t>
      </w:r>
    </w:p>
    <w:p w:rsidR="00590AF6" w:rsidRPr="000F343F" w:rsidRDefault="00590AF6" w:rsidP="00590AF6">
      <w:pPr>
        <w:ind w:firstLine="720"/>
        <w:rPr>
          <w:rFonts w:asciiTheme="minorHAnsi" w:hAnsiTheme="minorHAnsi" w:cstheme="minorHAnsi"/>
          <w:sz w:val="22"/>
          <w:szCs w:val="22"/>
        </w:rPr>
      </w:pPr>
    </w:p>
    <w:p w:rsidR="005A77AE" w:rsidRPr="002C4861" w:rsidRDefault="00590AF6" w:rsidP="005A77AE">
      <w:pPr>
        <w:rPr>
          <w:rFonts w:asciiTheme="minorHAnsi" w:hAnsiTheme="minorHAnsi" w:cstheme="minorHAnsi"/>
          <w:b/>
          <w:sz w:val="22"/>
          <w:szCs w:val="22"/>
        </w:rPr>
      </w:pPr>
      <w:r w:rsidRPr="000F343F">
        <w:rPr>
          <w:rFonts w:asciiTheme="minorHAnsi" w:hAnsiTheme="minorHAnsi" w:cstheme="minorHAnsi"/>
          <w:b/>
          <w:sz w:val="22"/>
          <w:szCs w:val="22"/>
        </w:rPr>
        <w:t>Insolvency Committe</w:t>
      </w:r>
      <w:r w:rsidR="005A77AE" w:rsidRPr="000F343F">
        <w:rPr>
          <w:rFonts w:asciiTheme="minorHAnsi" w:hAnsiTheme="minorHAnsi" w:cstheme="minorHAnsi"/>
          <w:b/>
          <w:sz w:val="22"/>
          <w:szCs w:val="22"/>
        </w:rPr>
        <w:t>e</w:t>
      </w:r>
      <w:r w:rsidR="005A77AE" w:rsidRPr="000F343F">
        <w:rPr>
          <w:rFonts w:asciiTheme="minorHAnsi" w:hAnsiTheme="minorHAnsi" w:cstheme="minorHAnsi"/>
          <w:sz w:val="22"/>
          <w:szCs w:val="22"/>
        </w:rPr>
        <w:br/>
        <w:t xml:space="preserve">The Committee is expected to begin its consideration of winding up and the regulation of liquidators in the New Year. An initial discussion document will issue in early December for the Committee’s consideration before meeting in </w:t>
      </w:r>
      <w:r w:rsidR="0018532F">
        <w:rPr>
          <w:rFonts w:asciiTheme="minorHAnsi" w:hAnsiTheme="minorHAnsi" w:cstheme="minorHAnsi"/>
          <w:sz w:val="22"/>
          <w:szCs w:val="22"/>
        </w:rPr>
        <w:t>January</w:t>
      </w:r>
      <w:r w:rsidR="005A77AE" w:rsidRPr="000F343F">
        <w:rPr>
          <w:rFonts w:asciiTheme="minorHAnsi" w:hAnsiTheme="minorHAnsi" w:cstheme="minorHAnsi"/>
          <w:sz w:val="22"/>
          <w:szCs w:val="22"/>
        </w:rPr>
        <w:t>.</w:t>
      </w:r>
    </w:p>
    <w:p w:rsidR="00590AF6" w:rsidRPr="000F343F" w:rsidRDefault="00590AF6" w:rsidP="00590AF6">
      <w:pPr>
        <w:ind w:firstLine="720"/>
        <w:rPr>
          <w:rFonts w:asciiTheme="minorHAnsi" w:hAnsiTheme="minorHAnsi" w:cstheme="minorHAnsi"/>
          <w:sz w:val="22"/>
          <w:szCs w:val="22"/>
        </w:rPr>
      </w:pPr>
    </w:p>
    <w:p w:rsidR="00A122F7" w:rsidRPr="002C4861" w:rsidRDefault="00590AF6" w:rsidP="00A122F7">
      <w:pPr>
        <w:rPr>
          <w:rFonts w:asciiTheme="minorHAnsi" w:hAnsiTheme="minorHAnsi" w:cstheme="minorHAnsi"/>
          <w:b/>
          <w:sz w:val="22"/>
          <w:szCs w:val="22"/>
        </w:rPr>
      </w:pPr>
      <w:r w:rsidRPr="000F343F">
        <w:rPr>
          <w:rFonts w:asciiTheme="minorHAnsi" w:hAnsiTheme="minorHAnsi" w:cstheme="minorHAnsi"/>
          <w:b/>
          <w:sz w:val="22"/>
          <w:szCs w:val="22"/>
        </w:rPr>
        <w:t>Part 23 Committee</w:t>
      </w:r>
    </w:p>
    <w:p w:rsidR="00A122F7" w:rsidRPr="000F343F" w:rsidRDefault="00A122F7" w:rsidP="00A122F7">
      <w:pPr>
        <w:rPr>
          <w:rFonts w:asciiTheme="minorHAnsi" w:hAnsiTheme="minorHAnsi" w:cstheme="minorHAnsi"/>
          <w:sz w:val="22"/>
          <w:szCs w:val="22"/>
        </w:rPr>
      </w:pPr>
      <w:r w:rsidRPr="000F343F">
        <w:rPr>
          <w:rFonts w:asciiTheme="minorHAnsi" w:hAnsiTheme="minorHAnsi" w:cstheme="minorHAnsi"/>
          <w:sz w:val="22"/>
          <w:szCs w:val="22"/>
        </w:rPr>
        <w:t>The Migration of Participating Securities Bill was initiated 20</w:t>
      </w:r>
      <w:r w:rsidRPr="000F343F">
        <w:rPr>
          <w:rFonts w:asciiTheme="minorHAnsi" w:hAnsiTheme="minorHAnsi" w:cstheme="minorHAnsi"/>
          <w:sz w:val="22"/>
          <w:szCs w:val="22"/>
          <w:vertAlign w:val="superscript"/>
        </w:rPr>
        <w:t>th</w:t>
      </w:r>
      <w:r w:rsidRPr="000F343F">
        <w:rPr>
          <w:rFonts w:asciiTheme="minorHAnsi" w:hAnsiTheme="minorHAnsi" w:cstheme="minorHAnsi"/>
          <w:sz w:val="22"/>
          <w:szCs w:val="22"/>
        </w:rPr>
        <w:t xml:space="preserve"> November. The Committee are meeting in early December and its consideration of any arising implications from a company law perspective are ongoing. </w:t>
      </w:r>
    </w:p>
    <w:p w:rsidR="00590AF6" w:rsidRPr="000F343F" w:rsidRDefault="00590AF6" w:rsidP="00590AF6">
      <w:pPr>
        <w:ind w:firstLine="720"/>
        <w:rPr>
          <w:rFonts w:asciiTheme="minorHAnsi" w:hAnsiTheme="minorHAnsi" w:cstheme="minorHAnsi"/>
          <w:sz w:val="22"/>
          <w:szCs w:val="22"/>
        </w:rPr>
      </w:pPr>
    </w:p>
    <w:p w:rsidR="00590AF6" w:rsidRPr="000F343F" w:rsidRDefault="00590AF6" w:rsidP="00A122F7">
      <w:pPr>
        <w:rPr>
          <w:rFonts w:asciiTheme="minorHAnsi" w:hAnsiTheme="minorHAnsi" w:cstheme="minorHAnsi"/>
          <w:b/>
          <w:sz w:val="22"/>
          <w:szCs w:val="22"/>
        </w:rPr>
      </w:pPr>
      <w:r w:rsidRPr="000F343F">
        <w:rPr>
          <w:rFonts w:asciiTheme="minorHAnsi" w:hAnsiTheme="minorHAnsi" w:cstheme="minorHAnsi"/>
          <w:b/>
          <w:sz w:val="22"/>
          <w:szCs w:val="22"/>
        </w:rPr>
        <w:t>Statutory Committee</w:t>
      </w:r>
    </w:p>
    <w:p w:rsidR="00A122F7" w:rsidRPr="0018532F" w:rsidRDefault="00F503B8" w:rsidP="00A122F7">
      <w:pPr>
        <w:rPr>
          <w:rFonts w:asciiTheme="minorHAnsi" w:hAnsiTheme="minorHAnsi" w:cstheme="minorHAnsi"/>
          <w:sz w:val="22"/>
          <w:szCs w:val="22"/>
        </w:rPr>
      </w:pPr>
      <w:r>
        <w:rPr>
          <w:rFonts w:asciiTheme="minorHAnsi" w:hAnsiTheme="minorHAnsi" w:cstheme="minorHAnsi"/>
          <w:sz w:val="22"/>
          <w:szCs w:val="22"/>
        </w:rPr>
        <w:lastRenderedPageBreak/>
        <w:t>A</w:t>
      </w:r>
      <w:r w:rsidR="00A122F7" w:rsidRPr="0018532F">
        <w:rPr>
          <w:rFonts w:asciiTheme="minorHAnsi" w:hAnsiTheme="minorHAnsi" w:cstheme="minorHAnsi"/>
          <w:sz w:val="22"/>
          <w:szCs w:val="22"/>
        </w:rPr>
        <w:t>n overview of the Committee</w:t>
      </w:r>
      <w:r w:rsidR="0018532F">
        <w:rPr>
          <w:rFonts w:asciiTheme="minorHAnsi" w:hAnsiTheme="minorHAnsi" w:cstheme="minorHAnsi"/>
          <w:sz w:val="22"/>
          <w:szCs w:val="22"/>
        </w:rPr>
        <w:t>’s work to date</w:t>
      </w:r>
      <w:r>
        <w:rPr>
          <w:rFonts w:asciiTheme="minorHAnsi" w:hAnsiTheme="minorHAnsi" w:cstheme="minorHAnsi"/>
          <w:sz w:val="22"/>
          <w:szCs w:val="22"/>
        </w:rPr>
        <w:t xml:space="preserve"> was</w:t>
      </w:r>
      <w:r w:rsidR="002F5A08">
        <w:rPr>
          <w:rFonts w:asciiTheme="minorHAnsi" w:hAnsiTheme="minorHAnsi" w:cstheme="minorHAnsi"/>
          <w:sz w:val="22"/>
          <w:szCs w:val="22"/>
        </w:rPr>
        <w:t xml:space="preserve"> given</w:t>
      </w:r>
      <w:r w:rsidR="0018532F">
        <w:rPr>
          <w:rFonts w:asciiTheme="minorHAnsi" w:hAnsiTheme="minorHAnsi" w:cstheme="minorHAnsi"/>
          <w:sz w:val="22"/>
          <w:szCs w:val="22"/>
        </w:rPr>
        <w:t>.</w:t>
      </w:r>
      <w:r w:rsidR="002F5A08">
        <w:rPr>
          <w:rFonts w:asciiTheme="minorHAnsi" w:hAnsiTheme="minorHAnsi" w:cstheme="minorHAnsi"/>
          <w:sz w:val="22"/>
          <w:szCs w:val="22"/>
        </w:rPr>
        <w:t xml:space="preserve"> It was outlined that the Committee would reconvene as and when responses to proposed legislation w</w:t>
      </w:r>
      <w:r w:rsidR="005812C4">
        <w:rPr>
          <w:rFonts w:asciiTheme="minorHAnsi" w:hAnsiTheme="minorHAnsi" w:cstheme="minorHAnsi"/>
          <w:sz w:val="22"/>
          <w:szCs w:val="22"/>
        </w:rPr>
        <w:t>ere</w:t>
      </w:r>
      <w:r w:rsidR="002F5A08">
        <w:rPr>
          <w:rFonts w:asciiTheme="minorHAnsi" w:hAnsiTheme="minorHAnsi" w:cstheme="minorHAnsi"/>
          <w:sz w:val="22"/>
          <w:szCs w:val="22"/>
        </w:rPr>
        <w:t xml:space="preserve"> required within a short time frame.</w:t>
      </w:r>
    </w:p>
    <w:p w:rsidR="00A63282" w:rsidRPr="000F343F" w:rsidRDefault="00A63282" w:rsidP="00590AF6">
      <w:pPr>
        <w:ind w:firstLine="720"/>
        <w:rPr>
          <w:rFonts w:asciiTheme="minorHAnsi" w:hAnsiTheme="minorHAnsi" w:cstheme="minorHAnsi"/>
          <w:sz w:val="22"/>
          <w:szCs w:val="22"/>
        </w:rPr>
      </w:pPr>
    </w:p>
    <w:p w:rsidR="00A63282" w:rsidRDefault="00A63282" w:rsidP="00A63282">
      <w:pPr>
        <w:rPr>
          <w:rFonts w:asciiTheme="minorHAnsi" w:hAnsiTheme="minorHAnsi" w:cstheme="minorHAnsi"/>
          <w:sz w:val="22"/>
          <w:szCs w:val="22"/>
        </w:rPr>
      </w:pPr>
    </w:p>
    <w:p w:rsidR="00F503B8" w:rsidRDefault="00F503B8" w:rsidP="00A63282">
      <w:pPr>
        <w:rPr>
          <w:rFonts w:asciiTheme="minorHAnsi" w:hAnsiTheme="minorHAnsi" w:cstheme="minorHAnsi"/>
          <w:sz w:val="22"/>
          <w:szCs w:val="22"/>
        </w:rPr>
      </w:pPr>
    </w:p>
    <w:p w:rsidR="00F503B8" w:rsidRDefault="00F503B8" w:rsidP="00A63282">
      <w:pPr>
        <w:rPr>
          <w:rFonts w:asciiTheme="minorHAnsi" w:hAnsiTheme="minorHAnsi" w:cstheme="minorHAnsi"/>
          <w:sz w:val="22"/>
          <w:szCs w:val="22"/>
        </w:rPr>
      </w:pPr>
    </w:p>
    <w:p w:rsidR="002F5A08" w:rsidRDefault="002F5A08" w:rsidP="00A63282">
      <w:pPr>
        <w:rPr>
          <w:rFonts w:asciiTheme="minorHAnsi" w:hAnsiTheme="minorHAnsi" w:cstheme="minorHAnsi"/>
          <w:sz w:val="22"/>
          <w:szCs w:val="22"/>
        </w:rPr>
      </w:pPr>
    </w:p>
    <w:p w:rsidR="00F503B8" w:rsidRDefault="00F503B8" w:rsidP="00A63282">
      <w:pPr>
        <w:rPr>
          <w:rFonts w:asciiTheme="minorHAnsi" w:hAnsiTheme="minorHAnsi" w:cstheme="minorHAnsi"/>
          <w:sz w:val="22"/>
          <w:szCs w:val="22"/>
        </w:rPr>
      </w:pPr>
    </w:p>
    <w:p w:rsidR="00F503B8" w:rsidRPr="000F343F" w:rsidRDefault="00F503B8" w:rsidP="00A63282">
      <w:pPr>
        <w:rPr>
          <w:rFonts w:asciiTheme="minorHAnsi" w:hAnsiTheme="minorHAnsi" w:cstheme="minorHAnsi"/>
          <w:sz w:val="22"/>
          <w:szCs w:val="22"/>
        </w:rPr>
      </w:pPr>
    </w:p>
    <w:p w:rsidR="000F343F" w:rsidRDefault="00A63282" w:rsidP="000F343F">
      <w:pPr>
        <w:pStyle w:val="BodyTextIndent2"/>
        <w:numPr>
          <w:ilvl w:val="0"/>
          <w:numId w:val="2"/>
        </w:numPr>
        <w:pBdr>
          <w:top w:val="none" w:sz="0" w:space="0" w:color="auto"/>
          <w:left w:val="none" w:sz="0" w:space="0" w:color="auto"/>
          <w:bottom w:val="none" w:sz="0" w:space="0" w:color="auto"/>
          <w:right w:val="none" w:sz="0" w:space="0" w:color="auto"/>
        </w:pBdr>
        <w:spacing w:line="276" w:lineRule="auto"/>
        <w:rPr>
          <w:rFonts w:asciiTheme="minorHAnsi" w:hAnsiTheme="minorHAnsi" w:cstheme="minorHAnsi"/>
          <w:b/>
          <w:color w:val="222222"/>
          <w:sz w:val="22"/>
          <w:szCs w:val="22"/>
          <w:lang w:eastAsia="en-IE"/>
        </w:rPr>
      </w:pPr>
      <w:r w:rsidRPr="000F343F">
        <w:rPr>
          <w:rFonts w:asciiTheme="minorHAnsi" w:hAnsiTheme="minorHAnsi" w:cstheme="minorHAnsi"/>
          <w:b/>
          <w:color w:val="222222"/>
          <w:sz w:val="22"/>
          <w:szCs w:val="22"/>
          <w:lang w:eastAsia="en-IE"/>
        </w:rPr>
        <w:t>Practice updates</w:t>
      </w:r>
    </w:p>
    <w:p w:rsidR="0018532F" w:rsidRPr="0018532F" w:rsidRDefault="0018532F" w:rsidP="0018532F">
      <w:pPr>
        <w:pStyle w:val="BodyTextIndent2"/>
        <w:pBdr>
          <w:top w:val="none" w:sz="0" w:space="0" w:color="auto"/>
          <w:left w:val="none" w:sz="0" w:space="0" w:color="auto"/>
          <w:bottom w:val="none" w:sz="0" w:space="0" w:color="auto"/>
          <w:right w:val="none" w:sz="0" w:space="0" w:color="auto"/>
        </w:pBdr>
        <w:spacing w:line="276" w:lineRule="auto"/>
        <w:ind w:left="5040" w:firstLine="0"/>
        <w:rPr>
          <w:rFonts w:asciiTheme="minorHAnsi" w:hAnsiTheme="minorHAnsi" w:cstheme="minorHAnsi"/>
          <w:b/>
          <w:color w:val="222222"/>
          <w:sz w:val="22"/>
          <w:szCs w:val="22"/>
          <w:lang w:eastAsia="en-IE"/>
        </w:rPr>
      </w:pPr>
    </w:p>
    <w:p w:rsidR="00A63282" w:rsidRPr="000F343F" w:rsidRDefault="00F503B8" w:rsidP="0018532F">
      <w:pPr>
        <w:rPr>
          <w:rFonts w:asciiTheme="minorHAnsi" w:hAnsiTheme="minorHAnsi" w:cstheme="minorHAnsi"/>
          <w:sz w:val="22"/>
          <w:szCs w:val="22"/>
        </w:rPr>
      </w:pPr>
      <w:r>
        <w:rPr>
          <w:rFonts w:asciiTheme="minorHAnsi" w:hAnsiTheme="minorHAnsi" w:cstheme="minorHAnsi"/>
          <w:sz w:val="22"/>
          <w:szCs w:val="22"/>
        </w:rPr>
        <w:t>The Chairperson, Mr. Paul Egan provided an update on the a</w:t>
      </w:r>
      <w:r w:rsidR="00A63282" w:rsidRPr="000F343F">
        <w:rPr>
          <w:rFonts w:asciiTheme="minorHAnsi" w:hAnsiTheme="minorHAnsi" w:cstheme="minorHAnsi"/>
          <w:sz w:val="22"/>
          <w:szCs w:val="22"/>
        </w:rPr>
        <w:t>pplication of S.I. No. 110/2019 - European Union (Anti-Money Laundering:</w:t>
      </w:r>
      <w:r>
        <w:rPr>
          <w:rFonts w:asciiTheme="minorHAnsi" w:hAnsiTheme="minorHAnsi" w:cstheme="minorHAnsi"/>
          <w:sz w:val="22"/>
          <w:szCs w:val="22"/>
        </w:rPr>
        <w:t xml:space="preserve"> </w:t>
      </w:r>
      <w:r w:rsidR="00A63282" w:rsidRPr="000F343F">
        <w:rPr>
          <w:rFonts w:asciiTheme="minorHAnsi" w:hAnsiTheme="minorHAnsi" w:cstheme="minorHAnsi"/>
          <w:sz w:val="22"/>
          <w:szCs w:val="22"/>
        </w:rPr>
        <w:t>Beneficial Ownership of Corporate Entities) Regulations 2019.</w:t>
      </w:r>
    </w:p>
    <w:p w:rsidR="00A63282" w:rsidRPr="009353E2" w:rsidRDefault="00A63282" w:rsidP="009353E2">
      <w:pPr>
        <w:rPr>
          <w:rFonts w:asciiTheme="minorHAnsi" w:hAnsiTheme="minorHAnsi" w:cstheme="minorHAnsi"/>
        </w:rPr>
      </w:pPr>
    </w:p>
    <w:p w:rsidR="00A63282" w:rsidRPr="0018532F" w:rsidRDefault="00A63282" w:rsidP="001B4A4A">
      <w:pPr>
        <w:pStyle w:val="text-18"/>
        <w:numPr>
          <w:ilvl w:val="0"/>
          <w:numId w:val="2"/>
        </w:numPr>
        <w:spacing w:after="300" w:afterAutospacing="0"/>
        <w:rPr>
          <w:rFonts w:asciiTheme="minorHAnsi" w:hAnsiTheme="minorHAnsi" w:cstheme="minorHAnsi"/>
          <w:b/>
          <w:color w:val="222222"/>
          <w:sz w:val="22"/>
          <w:szCs w:val="22"/>
        </w:rPr>
      </w:pPr>
      <w:r w:rsidRPr="000F343F">
        <w:rPr>
          <w:rFonts w:asciiTheme="minorHAnsi" w:hAnsiTheme="minorHAnsi" w:cstheme="minorHAnsi"/>
          <w:b/>
          <w:sz w:val="22"/>
          <w:szCs w:val="22"/>
        </w:rPr>
        <w:t>Update on work programme</w:t>
      </w:r>
    </w:p>
    <w:p w:rsidR="0018532F" w:rsidRDefault="0018532F" w:rsidP="0018532F">
      <w:pPr>
        <w:pStyle w:val="text-18"/>
        <w:spacing w:after="300" w:afterAutospacing="0"/>
        <w:rPr>
          <w:rFonts w:asciiTheme="minorHAnsi" w:hAnsiTheme="minorHAnsi" w:cstheme="minorHAnsi"/>
          <w:sz w:val="22"/>
          <w:szCs w:val="22"/>
        </w:rPr>
      </w:pPr>
      <w:r>
        <w:rPr>
          <w:rFonts w:asciiTheme="minorHAnsi" w:hAnsiTheme="minorHAnsi" w:cstheme="minorHAnsi"/>
          <w:sz w:val="22"/>
          <w:szCs w:val="22"/>
        </w:rPr>
        <w:t xml:space="preserve">The Chairperson </w:t>
      </w:r>
      <w:r w:rsidR="00F503B8">
        <w:rPr>
          <w:rFonts w:asciiTheme="minorHAnsi" w:hAnsiTheme="minorHAnsi" w:cstheme="minorHAnsi"/>
          <w:sz w:val="22"/>
          <w:szCs w:val="22"/>
        </w:rPr>
        <w:t>gave an update on the progression of the work programme to date. Two items of work are outstanding:</w:t>
      </w:r>
    </w:p>
    <w:p w:rsidR="0018532F" w:rsidRPr="0018532F" w:rsidRDefault="0018532F" w:rsidP="0018532F">
      <w:pPr>
        <w:pStyle w:val="text-18"/>
        <w:numPr>
          <w:ilvl w:val="0"/>
          <w:numId w:val="29"/>
        </w:numPr>
        <w:spacing w:after="0" w:afterAutospacing="0"/>
        <w:ind w:left="714" w:hanging="357"/>
        <w:rPr>
          <w:rFonts w:asciiTheme="minorHAnsi" w:hAnsiTheme="minorHAnsi" w:cstheme="minorHAnsi"/>
          <w:color w:val="222222"/>
          <w:sz w:val="22"/>
          <w:szCs w:val="22"/>
        </w:rPr>
      </w:pPr>
      <w:r>
        <w:rPr>
          <w:rFonts w:asciiTheme="minorHAnsi" w:hAnsiTheme="minorHAnsi" w:cstheme="minorHAnsi"/>
          <w:sz w:val="22"/>
          <w:szCs w:val="22"/>
        </w:rPr>
        <w:t>The Corporate Enforcement Report</w:t>
      </w:r>
    </w:p>
    <w:p w:rsidR="0018532F" w:rsidRPr="00F503B8" w:rsidRDefault="0018532F" w:rsidP="0018532F">
      <w:pPr>
        <w:pStyle w:val="text-18"/>
        <w:numPr>
          <w:ilvl w:val="0"/>
          <w:numId w:val="29"/>
        </w:numPr>
        <w:spacing w:after="0" w:afterAutospacing="0"/>
        <w:ind w:left="714" w:hanging="357"/>
        <w:rPr>
          <w:rFonts w:asciiTheme="minorHAnsi" w:hAnsiTheme="minorHAnsi" w:cstheme="minorHAnsi"/>
          <w:color w:val="222222"/>
          <w:sz w:val="22"/>
          <w:szCs w:val="22"/>
        </w:rPr>
      </w:pPr>
      <w:r>
        <w:rPr>
          <w:rFonts w:asciiTheme="minorHAnsi" w:hAnsiTheme="minorHAnsi" w:cstheme="minorHAnsi"/>
          <w:sz w:val="22"/>
          <w:szCs w:val="22"/>
        </w:rPr>
        <w:t>Winding up and the Regulation of Liquidators.</w:t>
      </w:r>
    </w:p>
    <w:p w:rsidR="00F503B8" w:rsidRPr="0018532F" w:rsidRDefault="00F503B8" w:rsidP="00F503B8">
      <w:pPr>
        <w:pStyle w:val="text-18"/>
        <w:spacing w:after="0" w:afterAutospacing="0"/>
        <w:rPr>
          <w:rFonts w:asciiTheme="minorHAnsi" w:hAnsiTheme="minorHAnsi" w:cstheme="minorHAnsi"/>
          <w:color w:val="222222"/>
          <w:sz w:val="22"/>
          <w:szCs w:val="22"/>
        </w:rPr>
      </w:pPr>
    </w:p>
    <w:p w:rsidR="000B67E7" w:rsidRPr="000F343F" w:rsidRDefault="00A63282" w:rsidP="00D54DFB">
      <w:pPr>
        <w:pStyle w:val="BodyTextIndent2"/>
        <w:numPr>
          <w:ilvl w:val="0"/>
          <w:numId w:val="2"/>
        </w:numPr>
        <w:pBdr>
          <w:top w:val="none" w:sz="0" w:space="0" w:color="auto"/>
          <w:left w:val="none" w:sz="0" w:space="0" w:color="auto"/>
          <w:bottom w:val="none" w:sz="0" w:space="0" w:color="auto"/>
          <w:right w:val="none" w:sz="0" w:space="0" w:color="auto"/>
        </w:pBdr>
        <w:spacing w:line="276" w:lineRule="auto"/>
        <w:rPr>
          <w:rFonts w:asciiTheme="minorHAnsi" w:hAnsiTheme="minorHAnsi" w:cstheme="minorHAnsi"/>
          <w:b/>
          <w:sz w:val="22"/>
          <w:szCs w:val="22"/>
        </w:rPr>
      </w:pPr>
      <w:r w:rsidRPr="000F343F">
        <w:rPr>
          <w:rFonts w:asciiTheme="minorHAnsi" w:hAnsiTheme="minorHAnsi" w:cstheme="minorHAnsi"/>
          <w:b/>
          <w:sz w:val="22"/>
          <w:szCs w:val="22"/>
        </w:rPr>
        <w:t>AOB</w:t>
      </w:r>
    </w:p>
    <w:p w:rsidR="000F343F" w:rsidRPr="000F343F" w:rsidRDefault="002F5A08" w:rsidP="000F343F">
      <w:pPr>
        <w:pStyle w:val="BodyTextIndent2"/>
        <w:pBdr>
          <w:top w:val="none" w:sz="0" w:space="0" w:color="auto"/>
          <w:left w:val="none" w:sz="0" w:space="0" w:color="auto"/>
          <w:bottom w:val="none" w:sz="0" w:space="0" w:color="auto"/>
          <w:right w:val="none" w:sz="0" w:space="0" w:color="auto"/>
        </w:pBdr>
        <w:spacing w:line="276" w:lineRule="auto"/>
        <w:rPr>
          <w:rFonts w:asciiTheme="minorHAnsi" w:hAnsiTheme="minorHAnsi" w:cstheme="minorHAnsi"/>
          <w:sz w:val="22"/>
          <w:szCs w:val="22"/>
        </w:rPr>
      </w:pPr>
      <w:r>
        <w:rPr>
          <w:rFonts w:asciiTheme="minorHAnsi" w:hAnsiTheme="minorHAnsi" w:cstheme="minorHAnsi"/>
          <w:sz w:val="22"/>
          <w:szCs w:val="22"/>
        </w:rPr>
        <w:t>There were no matters signalled under any other business.</w:t>
      </w:r>
    </w:p>
    <w:sectPr w:rsidR="000F343F" w:rsidRPr="000F343F" w:rsidSect="002A4D11">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2E9" w:rsidRDefault="001012E9" w:rsidP="002A4D11">
      <w:r>
        <w:separator/>
      </w:r>
    </w:p>
  </w:endnote>
  <w:endnote w:type="continuationSeparator" w:id="0">
    <w:p w:rsidR="001012E9" w:rsidRDefault="001012E9" w:rsidP="002A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670060"/>
      <w:docPartObj>
        <w:docPartGallery w:val="Page Numbers (Bottom of Page)"/>
        <w:docPartUnique/>
      </w:docPartObj>
    </w:sdtPr>
    <w:sdtEndPr>
      <w:rPr>
        <w:noProof/>
      </w:rPr>
    </w:sdtEndPr>
    <w:sdtContent>
      <w:p w:rsidR="000B67E7" w:rsidRDefault="000B67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22CAE" w:rsidRDefault="00222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2E9" w:rsidRDefault="001012E9" w:rsidP="002A4D11">
      <w:r>
        <w:separator/>
      </w:r>
    </w:p>
  </w:footnote>
  <w:footnote w:type="continuationSeparator" w:id="0">
    <w:p w:rsidR="001012E9" w:rsidRDefault="001012E9" w:rsidP="002A4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CAE" w:rsidRDefault="00222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962B5"/>
    <w:multiLevelType w:val="hybridMultilevel"/>
    <w:tmpl w:val="274C0CA4"/>
    <w:lvl w:ilvl="0" w:tplc="6ED8F5B8">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2C3C83"/>
    <w:multiLevelType w:val="hybridMultilevel"/>
    <w:tmpl w:val="0AEC4CA0"/>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910A92"/>
    <w:multiLevelType w:val="hybridMultilevel"/>
    <w:tmpl w:val="9072FA94"/>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FF317D"/>
    <w:multiLevelType w:val="hybridMultilevel"/>
    <w:tmpl w:val="3D4046E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B1F3687"/>
    <w:multiLevelType w:val="hybridMultilevel"/>
    <w:tmpl w:val="0AEC4CA0"/>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4C49BE"/>
    <w:multiLevelType w:val="hybridMultilevel"/>
    <w:tmpl w:val="822C6B82"/>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870E55"/>
    <w:multiLevelType w:val="hybridMultilevel"/>
    <w:tmpl w:val="BD145302"/>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E32895"/>
    <w:multiLevelType w:val="hybridMultilevel"/>
    <w:tmpl w:val="0FAEE3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6AB22B9"/>
    <w:multiLevelType w:val="hybridMultilevel"/>
    <w:tmpl w:val="A7D642F0"/>
    <w:lvl w:ilvl="0" w:tplc="7DD0104C">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0867CA"/>
    <w:multiLevelType w:val="hybridMultilevel"/>
    <w:tmpl w:val="273A374A"/>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5C147F"/>
    <w:multiLevelType w:val="hybridMultilevel"/>
    <w:tmpl w:val="0A6664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A6246C5"/>
    <w:multiLevelType w:val="hybridMultilevel"/>
    <w:tmpl w:val="7108A272"/>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C300062"/>
    <w:multiLevelType w:val="hybridMultilevel"/>
    <w:tmpl w:val="9AA65B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E641405"/>
    <w:multiLevelType w:val="hybridMultilevel"/>
    <w:tmpl w:val="3D4046E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4EB96692"/>
    <w:multiLevelType w:val="hybridMultilevel"/>
    <w:tmpl w:val="BB2656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FDE36AE"/>
    <w:multiLevelType w:val="hybridMultilevel"/>
    <w:tmpl w:val="81D8ACF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06323F3"/>
    <w:multiLevelType w:val="hybridMultilevel"/>
    <w:tmpl w:val="7D7A19CC"/>
    <w:lvl w:ilvl="0" w:tplc="9D043200">
      <w:start w:val="1"/>
      <w:numFmt w:val="lowerLetter"/>
      <w:lvlText w:val="%1)"/>
      <w:lvlJc w:val="left"/>
      <w:pPr>
        <w:ind w:left="2520" w:hanging="360"/>
      </w:pPr>
      <w:rPr>
        <w:rFonts w:hint="default"/>
      </w:rPr>
    </w:lvl>
    <w:lvl w:ilvl="1" w:tplc="18090019">
      <w:start w:val="1"/>
      <w:numFmt w:val="lowerLetter"/>
      <w:lvlText w:val="%2."/>
      <w:lvlJc w:val="left"/>
      <w:pPr>
        <w:ind w:left="3240" w:hanging="360"/>
      </w:pPr>
    </w:lvl>
    <w:lvl w:ilvl="2" w:tplc="1809001B">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7" w15:restartNumberingAfterBreak="0">
    <w:nsid w:val="526A7F99"/>
    <w:multiLevelType w:val="hybridMultilevel"/>
    <w:tmpl w:val="D59C70EC"/>
    <w:lvl w:ilvl="0" w:tplc="679A18B6">
      <w:start w:val="1"/>
      <w:numFmt w:val="decimal"/>
      <w:lvlText w:val="2.%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892284F"/>
    <w:multiLevelType w:val="hybridMultilevel"/>
    <w:tmpl w:val="57F6D1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E37319B"/>
    <w:multiLevelType w:val="hybridMultilevel"/>
    <w:tmpl w:val="F3280FC2"/>
    <w:lvl w:ilvl="0" w:tplc="FC34DCA0">
      <w:start w:val="1"/>
      <w:numFmt w:val="lowerLetter"/>
      <w:lvlText w:val="%1)"/>
      <w:lvlJc w:val="left"/>
      <w:pPr>
        <w:ind w:left="1800" w:hanging="360"/>
      </w:pPr>
      <w:rPr>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start w:val="1"/>
      <w:numFmt w:val="lowerRoman"/>
      <w:lvlText w:val="%6."/>
      <w:lvlJc w:val="right"/>
      <w:pPr>
        <w:ind w:left="5400" w:hanging="180"/>
      </w:pPr>
    </w:lvl>
    <w:lvl w:ilvl="6" w:tplc="1809000F">
      <w:start w:val="1"/>
      <w:numFmt w:val="decimal"/>
      <w:lvlText w:val="%7."/>
      <w:lvlJc w:val="left"/>
      <w:pPr>
        <w:ind w:left="6120" w:hanging="360"/>
      </w:pPr>
    </w:lvl>
    <w:lvl w:ilvl="7" w:tplc="18090019">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0" w15:restartNumberingAfterBreak="0">
    <w:nsid w:val="61110BA8"/>
    <w:multiLevelType w:val="hybridMultilevel"/>
    <w:tmpl w:val="7FB6E8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3FE5A59"/>
    <w:multiLevelType w:val="hybridMultilevel"/>
    <w:tmpl w:val="5F1E981A"/>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416689"/>
    <w:multiLevelType w:val="hybridMultilevel"/>
    <w:tmpl w:val="9B36D41A"/>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BDC294D"/>
    <w:multiLevelType w:val="hybridMultilevel"/>
    <w:tmpl w:val="3D4046E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6DCD2C31"/>
    <w:multiLevelType w:val="multilevel"/>
    <w:tmpl w:val="19BE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532BB"/>
    <w:multiLevelType w:val="hybridMultilevel"/>
    <w:tmpl w:val="D7686310"/>
    <w:lvl w:ilvl="0" w:tplc="18090011">
      <w:start w:val="1"/>
      <w:numFmt w:val="decimal"/>
      <w:lvlText w:val="%1)"/>
      <w:lvlJc w:val="left"/>
      <w:pPr>
        <w:ind w:left="360" w:hanging="360"/>
      </w:pPr>
    </w:lvl>
    <w:lvl w:ilvl="1" w:tplc="18090019">
      <w:start w:val="1"/>
      <w:numFmt w:val="lowerLetter"/>
      <w:lvlText w:val="%2."/>
      <w:lvlJc w:val="left"/>
      <w:pPr>
        <w:ind w:left="3240" w:hanging="360"/>
      </w:pPr>
    </w:lvl>
    <w:lvl w:ilvl="2" w:tplc="1809001B">
      <w:start w:val="1"/>
      <w:numFmt w:val="lowerRoman"/>
      <w:lvlText w:val="%3."/>
      <w:lvlJc w:val="right"/>
      <w:pPr>
        <w:ind w:left="3960" w:hanging="180"/>
      </w:pPr>
    </w:lvl>
    <w:lvl w:ilvl="3" w:tplc="1809000F">
      <w:start w:val="1"/>
      <w:numFmt w:val="decimal"/>
      <w:lvlText w:val="%4."/>
      <w:lvlJc w:val="left"/>
      <w:pPr>
        <w:ind w:left="4680" w:hanging="360"/>
      </w:pPr>
    </w:lvl>
    <w:lvl w:ilvl="4" w:tplc="18090019">
      <w:start w:val="1"/>
      <w:numFmt w:val="lowerLetter"/>
      <w:lvlText w:val="%5."/>
      <w:lvlJc w:val="left"/>
      <w:pPr>
        <w:ind w:left="5400" w:hanging="360"/>
      </w:pPr>
    </w:lvl>
    <w:lvl w:ilvl="5" w:tplc="1809001B">
      <w:start w:val="1"/>
      <w:numFmt w:val="lowerRoman"/>
      <w:lvlText w:val="%6."/>
      <w:lvlJc w:val="right"/>
      <w:pPr>
        <w:ind w:left="6120" w:hanging="180"/>
      </w:pPr>
    </w:lvl>
    <w:lvl w:ilvl="6" w:tplc="1809000F">
      <w:start w:val="1"/>
      <w:numFmt w:val="decimal"/>
      <w:lvlText w:val="%7."/>
      <w:lvlJc w:val="left"/>
      <w:pPr>
        <w:ind w:left="6840" w:hanging="360"/>
      </w:pPr>
    </w:lvl>
    <w:lvl w:ilvl="7" w:tplc="18090019">
      <w:start w:val="1"/>
      <w:numFmt w:val="lowerLetter"/>
      <w:lvlText w:val="%8."/>
      <w:lvlJc w:val="left"/>
      <w:pPr>
        <w:ind w:left="7560" w:hanging="360"/>
      </w:pPr>
    </w:lvl>
    <w:lvl w:ilvl="8" w:tplc="1809001B">
      <w:start w:val="1"/>
      <w:numFmt w:val="lowerRoman"/>
      <w:lvlText w:val="%9."/>
      <w:lvlJc w:val="right"/>
      <w:pPr>
        <w:ind w:left="8280" w:hanging="180"/>
      </w:pPr>
    </w:lvl>
  </w:abstractNum>
  <w:abstractNum w:abstractNumId="26" w15:restartNumberingAfterBreak="0">
    <w:nsid w:val="71AA4445"/>
    <w:multiLevelType w:val="hybridMultilevel"/>
    <w:tmpl w:val="843ECAB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15:restartNumberingAfterBreak="0">
    <w:nsid w:val="77570B2A"/>
    <w:multiLevelType w:val="hybridMultilevel"/>
    <w:tmpl w:val="314C93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EDB68BD"/>
    <w:multiLevelType w:val="hybridMultilevel"/>
    <w:tmpl w:val="C2FAAA46"/>
    <w:lvl w:ilvl="0" w:tplc="F04065E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8"/>
  </w:num>
  <w:num w:numId="2">
    <w:abstractNumId w:val="22"/>
  </w:num>
  <w:num w:numId="3">
    <w:abstractNumId w:val="17"/>
  </w:num>
  <w:num w:numId="4">
    <w:abstractNumId w:val="0"/>
  </w:num>
  <w:num w:numId="5">
    <w:abstractNumId w:val="27"/>
  </w:num>
  <w:num w:numId="6">
    <w:abstractNumId w:val="7"/>
  </w:num>
  <w:num w:numId="7">
    <w:abstractNumId w:val="19"/>
  </w:num>
  <w:num w:numId="8">
    <w:abstractNumId w:val="13"/>
  </w:num>
  <w:num w:numId="9">
    <w:abstractNumId w:val="3"/>
  </w:num>
  <w:num w:numId="10">
    <w:abstractNumId w:val="23"/>
  </w:num>
  <w:num w:numId="11">
    <w:abstractNumId w:val="5"/>
  </w:num>
  <w:num w:numId="12">
    <w:abstractNumId w:val="21"/>
  </w:num>
  <w:num w:numId="13">
    <w:abstractNumId w:val="2"/>
  </w:num>
  <w:num w:numId="14">
    <w:abstractNumId w:val="25"/>
  </w:num>
  <w:num w:numId="15">
    <w:abstractNumId w:val="6"/>
  </w:num>
  <w:num w:numId="16">
    <w:abstractNumId w:val="9"/>
  </w:num>
  <w:num w:numId="17">
    <w:abstractNumId w:val="16"/>
  </w:num>
  <w:num w:numId="18">
    <w:abstractNumId w:val="28"/>
  </w:num>
  <w:num w:numId="19">
    <w:abstractNumId w:val="4"/>
  </w:num>
  <w:num w:numId="20">
    <w:abstractNumId w:val="26"/>
  </w:num>
  <w:num w:numId="21">
    <w:abstractNumId w:val="1"/>
  </w:num>
  <w:num w:numId="22">
    <w:abstractNumId w:val="12"/>
  </w:num>
  <w:num w:numId="23">
    <w:abstractNumId w:val="20"/>
  </w:num>
  <w:num w:numId="24">
    <w:abstractNumId w:val="18"/>
  </w:num>
  <w:num w:numId="25">
    <w:abstractNumId w:val="24"/>
  </w:num>
  <w:num w:numId="26">
    <w:abstractNumId w:val="14"/>
  </w:num>
  <w:num w:numId="27">
    <w:abstractNumId w:val="10"/>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8A"/>
    <w:rsid w:val="000115D1"/>
    <w:rsid w:val="00011C53"/>
    <w:rsid w:val="00013FB5"/>
    <w:rsid w:val="00015FEF"/>
    <w:rsid w:val="0003314A"/>
    <w:rsid w:val="00033FCE"/>
    <w:rsid w:val="00035588"/>
    <w:rsid w:val="000447CA"/>
    <w:rsid w:val="00051276"/>
    <w:rsid w:val="00067ABD"/>
    <w:rsid w:val="00073331"/>
    <w:rsid w:val="00083ADA"/>
    <w:rsid w:val="00087009"/>
    <w:rsid w:val="0009526B"/>
    <w:rsid w:val="000A40EE"/>
    <w:rsid w:val="000A6C7D"/>
    <w:rsid w:val="000B3823"/>
    <w:rsid w:val="000B51FA"/>
    <w:rsid w:val="000B67E7"/>
    <w:rsid w:val="000D3C80"/>
    <w:rsid w:val="000D4C13"/>
    <w:rsid w:val="000D68BF"/>
    <w:rsid w:val="000E0A6B"/>
    <w:rsid w:val="000E13BA"/>
    <w:rsid w:val="000F343F"/>
    <w:rsid w:val="000F785C"/>
    <w:rsid w:val="001012E9"/>
    <w:rsid w:val="0010638C"/>
    <w:rsid w:val="00120513"/>
    <w:rsid w:val="001230F1"/>
    <w:rsid w:val="00127468"/>
    <w:rsid w:val="001477B0"/>
    <w:rsid w:val="0015168F"/>
    <w:rsid w:val="0015501F"/>
    <w:rsid w:val="00165AE0"/>
    <w:rsid w:val="00166F6B"/>
    <w:rsid w:val="00175C2D"/>
    <w:rsid w:val="0018532F"/>
    <w:rsid w:val="00185F21"/>
    <w:rsid w:val="00192FFB"/>
    <w:rsid w:val="001B4A4A"/>
    <w:rsid w:val="001C6329"/>
    <w:rsid w:val="001E5064"/>
    <w:rsid w:val="001E6021"/>
    <w:rsid w:val="001E7D1A"/>
    <w:rsid w:val="001F592D"/>
    <w:rsid w:val="002043AC"/>
    <w:rsid w:val="00222333"/>
    <w:rsid w:val="0022276D"/>
    <w:rsid w:val="00222CAE"/>
    <w:rsid w:val="0022589F"/>
    <w:rsid w:val="00235069"/>
    <w:rsid w:val="00237AFA"/>
    <w:rsid w:val="002410D9"/>
    <w:rsid w:val="00241C3E"/>
    <w:rsid w:val="00243E00"/>
    <w:rsid w:val="0025394E"/>
    <w:rsid w:val="002703A2"/>
    <w:rsid w:val="00275C00"/>
    <w:rsid w:val="002817A1"/>
    <w:rsid w:val="00292953"/>
    <w:rsid w:val="00296001"/>
    <w:rsid w:val="002A27A1"/>
    <w:rsid w:val="002A4D11"/>
    <w:rsid w:val="002A6904"/>
    <w:rsid w:val="002B724F"/>
    <w:rsid w:val="002C4861"/>
    <w:rsid w:val="002C6DFA"/>
    <w:rsid w:val="002C77A7"/>
    <w:rsid w:val="002D0B2F"/>
    <w:rsid w:val="002D498A"/>
    <w:rsid w:val="002E2645"/>
    <w:rsid w:val="002E29E6"/>
    <w:rsid w:val="002E2B19"/>
    <w:rsid w:val="002E6A6A"/>
    <w:rsid w:val="002E797D"/>
    <w:rsid w:val="002F5A08"/>
    <w:rsid w:val="00311990"/>
    <w:rsid w:val="00313B06"/>
    <w:rsid w:val="00313BE1"/>
    <w:rsid w:val="00333699"/>
    <w:rsid w:val="0035006D"/>
    <w:rsid w:val="00351C73"/>
    <w:rsid w:val="00351FFE"/>
    <w:rsid w:val="00356520"/>
    <w:rsid w:val="00357787"/>
    <w:rsid w:val="00374E2E"/>
    <w:rsid w:val="003A1370"/>
    <w:rsid w:val="003A3E53"/>
    <w:rsid w:val="003A60FB"/>
    <w:rsid w:val="003A6B3B"/>
    <w:rsid w:val="003A6BF8"/>
    <w:rsid w:val="003B0DCF"/>
    <w:rsid w:val="003C0829"/>
    <w:rsid w:val="003C315D"/>
    <w:rsid w:val="003D0042"/>
    <w:rsid w:val="003D1A56"/>
    <w:rsid w:val="003E1F89"/>
    <w:rsid w:val="003F54A3"/>
    <w:rsid w:val="00400064"/>
    <w:rsid w:val="004025F5"/>
    <w:rsid w:val="00407F40"/>
    <w:rsid w:val="0042344F"/>
    <w:rsid w:val="00432C3E"/>
    <w:rsid w:val="0044454B"/>
    <w:rsid w:val="004502A3"/>
    <w:rsid w:val="00454A55"/>
    <w:rsid w:val="00480103"/>
    <w:rsid w:val="0048342D"/>
    <w:rsid w:val="00492826"/>
    <w:rsid w:val="004971BD"/>
    <w:rsid w:val="004B62E3"/>
    <w:rsid w:val="004C2CE1"/>
    <w:rsid w:val="004C7002"/>
    <w:rsid w:val="004D409E"/>
    <w:rsid w:val="004E25FF"/>
    <w:rsid w:val="004E3E12"/>
    <w:rsid w:val="004E3E89"/>
    <w:rsid w:val="004E66A8"/>
    <w:rsid w:val="004F11B4"/>
    <w:rsid w:val="004F5748"/>
    <w:rsid w:val="005328A7"/>
    <w:rsid w:val="005374B1"/>
    <w:rsid w:val="00542638"/>
    <w:rsid w:val="005429ED"/>
    <w:rsid w:val="00554654"/>
    <w:rsid w:val="00567325"/>
    <w:rsid w:val="00571701"/>
    <w:rsid w:val="005812C4"/>
    <w:rsid w:val="005841CD"/>
    <w:rsid w:val="00590123"/>
    <w:rsid w:val="00590AF6"/>
    <w:rsid w:val="005935E2"/>
    <w:rsid w:val="00595506"/>
    <w:rsid w:val="005A5CEB"/>
    <w:rsid w:val="005A77AE"/>
    <w:rsid w:val="005E2316"/>
    <w:rsid w:val="005E2A87"/>
    <w:rsid w:val="005E2D23"/>
    <w:rsid w:val="005F0297"/>
    <w:rsid w:val="006063B5"/>
    <w:rsid w:val="006076BD"/>
    <w:rsid w:val="00610B7C"/>
    <w:rsid w:val="00627DED"/>
    <w:rsid w:val="00634A79"/>
    <w:rsid w:val="00640A1E"/>
    <w:rsid w:val="00647775"/>
    <w:rsid w:val="00647C7B"/>
    <w:rsid w:val="0065168A"/>
    <w:rsid w:val="00651BB8"/>
    <w:rsid w:val="00667424"/>
    <w:rsid w:val="00675A54"/>
    <w:rsid w:val="0068511C"/>
    <w:rsid w:val="006853C8"/>
    <w:rsid w:val="00690A4A"/>
    <w:rsid w:val="0069299C"/>
    <w:rsid w:val="00696B97"/>
    <w:rsid w:val="006A4411"/>
    <w:rsid w:val="006A6CA8"/>
    <w:rsid w:val="006B3BEA"/>
    <w:rsid w:val="006B481C"/>
    <w:rsid w:val="006C3150"/>
    <w:rsid w:val="006C7A8E"/>
    <w:rsid w:val="006D19B9"/>
    <w:rsid w:val="006E1325"/>
    <w:rsid w:val="006E5413"/>
    <w:rsid w:val="006F7D78"/>
    <w:rsid w:val="006F7EF4"/>
    <w:rsid w:val="0070681D"/>
    <w:rsid w:val="0071175C"/>
    <w:rsid w:val="00717E57"/>
    <w:rsid w:val="00724D39"/>
    <w:rsid w:val="00725C85"/>
    <w:rsid w:val="0073302C"/>
    <w:rsid w:val="0073408A"/>
    <w:rsid w:val="00735A77"/>
    <w:rsid w:val="00740461"/>
    <w:rsid w:val="00742B90"/>
    <w:rsid w:val="007434A9"/>
    <w:rsid w:val="00744E6D"/>
    <w:rsid w:val="00745D9A"/>
    <w:rsid w:val="00761181"/>
    <w:rsid w:val="00776DBC"/>
    <w:rsid w:val="007A51EA"/>
    <w:rsid w:val="007C3C22"/>
    <w:rsid w:val="007F3A02"/>
    <w:rsid w:val="008007CA"/>
    <w:rsid w:val="008010A6"/>
    <w:rsid w:val="00812149"/>
    <w:rsid w:val="00813EEF"/>
    <w:rsid w:val="00823C29"/>
    <w:rsid w:val="00843F01"/>
    <w:rsid w:val="008473D1"/>
    <w:rsid w:val="00852FFE"/>
    <w:rsid w:val="00854D90"/>
    <w:rsid w:val="00856687"/>
    <w:rsid w:val="0085745B"/>
    <w:rsid w:val="00867B07"/>
    <w:rsid w:val="00867D33"/>
    <w:rsid w:val="00892D06"/>
    <w:rsid w:val="0089588D"/>
    <w:rsid w:val="008B0749"/>
    <w:rsid w:val="008B7AB4"/>
    <w:rsid w:val="008D7E06"/>
    <w:rsid w:val="008E0CFA"/>
    <w:rsid w:val="008E1C68"/>
    <w:rsid w:val="008F007F"/>
    <w:rsid w:val="00912E73"/>
    <w:rsid w:val="009353E2"/>
    <w:rsid w:val="0094453F"/>
    <w:rsid w:val="00944A56"/>
    <w:rsid w:val="009476F0"/>
    <w:rsid w:val="0094785A"/>
    <w:rsid w:val="0096711E"/>
    <w:rsid w:val="009708F9"/>
    <w:rsid w:val="009726F1"/>
    <w:rsid w:val="00973645"/>
    <w:rsid w:val="00990CBF"/>
    <w:rsid w:val="009A3128"/>
    <w:rsid w:val="009A7959"/>
    <w:rsid w:val="009B06DB"/>
    <w:rsid w:val="009C0323"/>
    <w:rsid w:val="009C13FF"/>
    <w:rsid w:val="009D7C7A"/>
    <w:rsid w:val="009E14BC"/>
    <w:rsid w:val="009E3C98"/>
    <w:rsid w:val="009F76B2"/>
    <w:rsid w:val="00A108DF"/>
    <w:rsid w:val="00A1150F"/>
    <w:rsid w:val="00A122F7"/>
    <w:rsid w:val="00A26E68"/>
    <w:rsid w:val="00A35E38"/>
    <w:rsid w:val="00A420BB"/>
    <w:rsid w:val="00A47E61"/>
    <w:rsid w:val="00A500BB"/>
    <w:rsid w:val="00A518B0"/>
    <w:rsid w:val="00A52FB5"/>
    <w:rsid w:val="00A53A1F"/>
    <w:rsid w:val="00A619A4"/>
    <w:rsid w:val="00A63282"/>
    <w:rsid w:val="00A63321"/>
    <w:rsid w:val="00A6608A"/>
    <w:rsid w:val="00A72A1D"/>
    <w:rsid w:val="00A749B6"/>
    <w:rsid w:val="00A75586"/>
    <w:rsid w:val="00A765DC"/>
    <w:rsid w:val="00A85AF3"/>
    <w:rsid w:val="00A97DF2"/>
    <w:rsid w:val="00AA0C9E"/>
    <w:rsid w:val="00AA48E9"/>
    <w:rsid w:val="00AB36AE"/>
    <w:rsid w:val="00AB38FB"/>
    <w:rsid w:val="00AB4A30"/>
    <w:rsid w:val="00AB59FA"/>
    <w:rsid w:val="00AC017E"/>
    <w:rsid w:val="00AC275F"/>
    <w:rsid w:val="00AD3D09"/>
    <w:rsid w:val="00AE0D45"/>
    <w:rsid w:val="00AE1645"/>
    <w:rsid w:val="00AF0134"/>
    <w:rsid w:val="00AF1475"/>
    <w:rsid w:val="00AF2445"/>
    <w:rsid w:val="00B02B10"/>
    <w:rsid w:val="00B1402F"/>
    <w:rsid w:val="00B2437C"/>
    <w:rsid w:val="00B25F4D"/>
    <w:rsid w:val="00B5168B"/>
    <w:rsid w:val="00B52931"/>
    <w:rsid w:val="00B576EE"/>
    <w:rsid w:val="00B713EE"/>
    <w:rsid w:val="00B722C5"/>
    <w:rsid w:val="00B95014"/>
    <w:rsid w:val="00B9589B"/>
    <w:rsid w:val="00B97178"/>
    <w:rsid w:val="00BB453E"/>
    <w:rsid w:val="00BB5BD8"/>
    <w:rsid w:val="00BC35D1"/>
    <w:rsid w:val="00BD100C"/>
    <w:rsid w:val="00BE50D7"/>
    <w:rsid w:val="00BF268A"/>
    <w:rsid w:val="00BF3A1D"/>
    <w:rsid w:val="00BF4EDF"/>
    <w:rsid w:val="00BF53E2"/>
    <w:rsid w:val="00BF7985"/>
    <w:rsid w:val="00C0792B"/>
    <w:rsid w:val="00C23DE5"/>
    <w:rsid w:val="00C3361F"/>
    <w:rsid w:val="00C33AFD"/>
    <w:rsid w:val="00C46F28"/>
    <w:rsid w:val="00C54454"/>
    <w:rsid w:val="00C5536E"/>
    <w:rsid w:val="00C66BDE"/>
    <w:rsid w:val="00C7478D"/>
    <w:rsid w:val="00C77762"/>
    <w:rsid w:val="00CA6DFC"/>
    <w:rsid w:val="00CB076E"/>
    <w:rsid w:val="00CC4BB0"/>
    <w:rsid w:val="00CE3036"/>
    <w:rsid w:val="00CE56C0"/>
    <w:rsid w:val="00CE61D7"/>
    <w:rsid w:val="00CE7C38"/>
    <w:rsid w:val="00D0276A"/>
    <w:rsid w:val="00D02A20"/>
    <w:rsid w:val="00D2782C"/>
    <w:rsid w:val="00D360A5"/>
    <w:rsid w:val="00D54DFB"/>
    <w:rsid w:val="00D6712A"/>
    <w:rsid w:val="00D83378"/>
    <w:rsid w:val="00D97CA1"/>
    <w:rsid w:val="00DA0602"/>
    <w:rsid w:val="00DD3BC6"/>
    <w:rsid w:val="00DD7018"/>
    <w:rsid w:val="00DE2D62"/>
    <w:rsid w:val="00DE3FA0"/>
    <w:rsid w:val="00E00505"/>
    <w:rsid w:val="00E01ADD"/>
    <w:rsid w:val="00E0364F"/>
    <w:rsid w:val="00E079DE"/>
    <w:rsid w:val="00E15479"/>
    <w:rsid w:val="00E16D8B"/>
    <w:rsid w:val="00E32254"/>
    <w:rsid w:val="00E35016"/>
    <w:rsid w:val="00E41DBF"/>
    <w:rsid w:val="00E47D8A"/>
    <w:rsid w:val="00E53510"/>
    <w:rsid w:val="00E61341"/>
    <w:rsid w:val="00E73DBD"/>
    <w:rsid w:val="00E8147E"/>
    <w:rsid w:val="00E90A84"/>
    <w:rsid w:val="00EB2B63"/>
    <w:rsid w:val="00EB3DAA"/>
    <w:rsid w:val="00EE0323"/>
    <w:rsid w:val="00EE2566"/>
    <w:rsid w:val="00EE68AA"/>
    <w:rsid w:val="00EF4871"/>
    <w:rsid w:val="00F04B60"/>
    <w:rsid w:val="00F17557"/>
    <w:rsid w:val="00F20159"/>
    <w:rsid w:val="00F30DEE"/>
    <w:rsid w:val="00F3751D"/>
    <w:rsid w:val="00F45266"/>
    <w:rsid w:val="00F503B8"/>
    <w:rsid w:val="00F54C96"/>
    <w:rsid w:val="00F64E38"/>
    <w:rsid w:val="00F74B85"/>
    <w:rsid w:val="00F91B29"/>
    <w:rsid w:val="00F979BE"/>
    <w:rsid w:val="00FA72C4"/>
    <w:rsid w:val="00FF2648"/>
    <w:rsid w:val="00FF2E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EEA6181A-82FB-442F-A8CD-C3AE1B81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BodyTextIndent2">
    <w:name w:val="Body Text Indent 2"/>
    <w:basedOn w:val="Normal"/>
    <w:link w:val="BodyTextIndent2Char"/>
    <w:semiHidden/>
    <w:pPr>
      <w:pBdr>
        <w:top w:val="single" w:sz="4" w:space="1" w:color="auto" w:shadow="1"/>
        <w:left w:val="single" w:sz="4" w:space="4" w:color="auto" w:shadow="1"/>
        <w:bottom w:val="single" w:sz="4" w:space="1" w:color="auto" w:shadow="1"/>
        <w:right w:val="single" w:sz="4" w:space="4" w:color="auto" w:shadow="1"/>
      </w:pBdr>
      <w:ind w:left="360" w:hanging="360"/>
    </w:pPr>
  </w:style>
  <w:style w:type="paragraph" w:styleId="BalloonText">
    <w:name w:val="Balloon Text"/>
    <w:basedOn w:val="Normal"/>
    <w:link w:val="BalloonTextChar"/>
    <w:uiPriority w:val="99"/>
    <w:semiHidden/>
    <w:unhideWhenUsed/>
    <w:rsid w:val="00627DED"/>
    <w:rPr>
      <w:rFonts w:ascii="Tahoma" w:hAnsi="Tahoma" w:cs="Tahoma"/>
      <w:sz w:val="16"/>
      <w:szCs w:val="16"/>
    </w:rPr>
  </w:style>
  <w:style w:type="character" w:customStyle="1" w:styleId="BalloonTextChar">
    <w:name w:val="Balloon Text Char"/>
    <w:link w:val="BalloonText"/>
    <w:uiPriority w:val="99"/>
    <w:semiHidden/>
    <w:rsid w:val="00627DED"/>
    <w:rPr>
      <w:rFonts w:ascii="Tahoma" w:hAnsi="Tahoma" w:cs="Tahoma"/>
      <w:sz w:val="16"/>
      <w:szCs w:val="16"/>
      <w:lang w:eastAsia="en-US"/>
    </w:rPr>
  </w:style>
  <w:style w:type="paragraph" w:styleId="ListParagraph">
    <w:name w:val="List Paragraph"/>
    <w:basedOn w:val="Normal"/>
    <w:uiPriority w:val="34"/>
    <w:qFormat/>
    <w:rsid w:val="005F029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A4D11"/>
    <w:pPr>
      <w:tabs>
        <w:tab w:val="center" w:pos="4513"/>
        <w:tab w:val="right" w:pos="9026"/>
      </w:tabs>
    </w:pPr>
  </w:style>
  <w:style w:type="character" w:customStyle="1" w:styleId="HeaderChar">
    <w:name w:val="Header Char"/>
    <w:link w:val="Header"/>
    <w:uiPriority w:val="99"/>
    <w:rsid w:val="002A4D11"/>
    <w:rPr>
      <w:sz w:val="24"/>
      <w:szCs w:val="24"/>
      <w:lang w:eastAsia="en-US"/>
    </w:rPr>
  </w:style>
  <w:style w:type="paragraph" w:styleId="Footer">
    <w:name w:val="footer"/>
    <w:basedOn w:val="Normal"/>
    <w:link w:val="FooterChar"/>
    <w:uiPriority w:val="99"/>
    <w:unhideWhenUsed/>
    <w:rsid w:val="002A4D11"/>
    <w:pPr>
      <w:tabs>
        <w:tab w:val="center" w:pos="4513"/>
        <w:tab w:val="right" w:pos="9026"/>
      </w:tabs>
    </w:pPr>
  </w:style>
  <w:style w:type="character" w:customStyle="1" w:styleId="FooterChar">
    <w:name w:val="Footer Char"/>
    <w:link w:val="Footer"/>
    <w:uiPriority w:val="99"/>
    <w:rsid w:val="002A4D11"/>
    <w:rPr>
      <w:sz w:val="24"/>
      <w:szCs w:val="24"/>
      <w:lang w:eastAsia="en-US"/>
    </w:rPr>
  </w:style>
  <w:style w:type="table" w:styleId="TableGrid">
    <w:name w:val="Table Grid"/>
    <w:basedOn w:val="TableNormal"/>
    <w:uiPriority w:val="59"/>
    <w:rsid w:val="002A4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semiHidden/>
    <w:rsid w:val="00035588"/>
    <w:rPr>
      <w:sz w:val="24"/>
      <w:szCs w:val="24"/>
      <w:lang w:eastAsia="en-US"/>
    </w:rPr>
  </w:style>
  <w:style w:type="character" w:styleId="Hyperlink">
    <w:name w:val="Hyperlink"/>
    <w:basedOn w:val="DefaultParagraphFont"/>
    <w:uiPriority w:val="99"/>
    <w:unhideWhenUsed/>
    <w:rsid w:val="004502A3"/>
    <w:rPr>
      <w:color w:val="0000FF" w:themeColor="hyperlink"/>
      <w:u w:val="single"/>
    </w:rPr>
  </w:style>
  <w:style w:type="paragraph" w:styleId="NormalWeb">
    <w:name w:val="Normal (Web)"/>
    <w:basedOn w:val="Normal"/>
    <w:uiPriority w:val="99"/>
    <w:semiHidden/>
    <w:unhideWhenUsed/>
    <w:rsid w:val="003C315D"/>
    <w:pPr>
      <w:spacing w:before="100" w:beforeAutospacing="1" w:after="100" w:afterAutospacing="1"/>
    </w:pPr>
    <w:rPr>
      <w:lang w:eastAsia="en-IE"/>
    </w:rPr>
  </w:style>
  <w:style w:type="character" w:styleId="Strong">
    <w:name w:val="Strong"/>
    <w:basedOn w:val="DefaultParagraphFont"/>
    <w:uiPriority w:val="22"/>
    <w:qFormat/>
    <w:rsid w:val="003C315D"/>
    <w:rPr>
      <w:b/>
      <w:bCs/>
    </w:rPr>
  </w:style>
  <w:style w:type="character" w:styleId="Emphasis">
    <w:name w:val="Emphasis"/>
    <w:basedOn w:val="DefaultParagraphFont"/>
    <w:uiPriority w:val="20"/>
    <w:qFormat/>
    <w:rsid w:val="003C315D"/>
    <w:rPr>
      <w:i/>
      <w:iCs/>
    </w:rPr>
  </w:style>
  <w:style w:type="paragraph" w:customStyle="1" w:styleId="text-18">
    <w:name w:val="text-18"/>
    <w:basedOn w:val="Normal"/>
    <w:rsid w:val="006E5413"/>
    <w:pPr>
      <w:spacing w:before="100" w:beforeAutospacing="1" w:after="100" w:afterAutospacing="1"/>
    </w:pPr>
    <w:rPr>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8046">
      <w:bodyDiv w:val="1"/>
      <w:marLeft w:val="0"/>
      <w:marRight w:val="0"/>
      <w:marTop w:val="0"/>
      <w:marBottom w:val="0"/>
      <w:divBdr>
        <w:top w:val="none" w:sz="0" w:space="0" w:color="auto"/>
        <w:left w:val="none" w:sz="0" w:space="0" w:color="auto"/>
        <w:bottom w:val="none" w:sz="0" w:space="0" w:color="auto"/>
        <w:right w:val="none" w:sz="0" w:space="0" w:color="auto"/>
      </w:divBdr>
    </w:div>
    <w:div w:id="139075939">
      <w:bodyDiv w:val="1"/>
      <w:marLeft w:val="0"/>
      <w:marRight w:val="0"/>
      <w:marTop w:val="0"/>
      <w:marBottom w:val="0"/>
      <w:divBdr>
        <w:top w:val="none" w:sz="0" w:space="0" w:color="auto"/>
        <w:left w:val="none" w:sz="0" w:space="0" w:color="auto"/>
        <w:bottom w:val="none" w:sz="0" w:space="0" w:color="auto"/>
        <w:right w:val="none" w:sz="0" w:space="0" w:color="auto"/>
      </w:divBdr>
    </w:div>
    <w:div w:id="269626015">
      <w:bodyDiv w:val="1"/>
      <w:marLeft w:val="0"/>
      <w:marRight w:val="0"/>
      <w:marTop w:val="0"/>
      <w:marBottom w:val="0"/>
      <w:divBdr>
        <w:top w:val="none" w:sz="0" w:space="0" w:color="auto"/>
        <w:left w:val="none" w:sz="0" w:space="0" w:color="auto"/>
        <w:bottom w:val="none" w:sz="0" w:space="0" w:color="auto"/>
        <w:right w:val="none" w:sz="0" w:space="0" w:color="auto"/>
      </w:divBdr>
    </w:div>
    <w:div w:id="311913911">
      <w:bodyDiv w:val="1"/>
      <w:marLeft w:val="0"/>
      <w:marRight w:val="0"/>
      <w:marTop w:val="0"/>
      <w:marBottom w:val="0"/>
      <w:divBdr>
        <w:top w:val="none" w:sz="0" w:space="0" w:color="auto"/>
        <w:left w:val="none" w:sz="0" w:space="0" w:color="auto"/>
        <w:bottom w:val="none" w:sz="0" w:space="0" w:color="auto"/>
        <w:right w:val="none" w:sz="0" w:space="0" w:color="auto"/>
      </w:divBdr>
    </w:div>
    <w:div w:id="414523380">
      <w:bodyDiv w:val="1"/>
      <w:marLeft w:val="0"/>
      <w:marRight w:val="0"/>
      <w:marTop w:val="0"/>
      <w:marBottom w:val="0"/>
      <w:divBdr>
        <w:top w:val="none" w:sz="0" w:space="0" w:color="auto"/>
        <w:left w:val="none" w:sz="0" w:space="0" w:color="auto"/>
        <w:bottom w:val="none" w:sz="0" w:space="0" w:color="auto"/>
        <w:right w:val="none" w:sz="0" w:space="0" w:color="auto"/>
      </w:divBdr>
    </w:div>
    <w:div w:id="709380599">
      <w:bodyDiv w:val="1"/>
      <w:marLeft w:val="0"/>
      <w:marRight w:val="0"/>
      <w:marTop w:val="0"/>
      <w:marBottom w:val="0"/>
      <w:divBdr>
        <w:top w:val="none" w:sz="0" w:space="0" w:color="auto"/>
        <w:left w:val="none" w:sz="0" w:space="0" w:color="auto"/>
        <w:bottom w:val="none" w:sz="0" w:space="0" w:color="auto"/>
        <w:right w:val="none" w:sz="0" w:space="0" w:color="auto"/>
      </w:divBdr>
    </w:div>
    <w:div w:id="716317691">
      <w:bodyDiv w:val="1"/>
      <w:marLeft w:val="0"/>
      <w:marRight w:val="0"/>
      <w:marTop w:val="0"/>
      <w:marBottom w:val="0"/>
      <w:divBdr>
        <w:top w:val="none" w:sz="0" w:space="0" w:color="auto"/>
        <w:left w:val="none" w:sz="0" w:space="0" w:color="auto"/>
        <w:bottom w:val="none" w:sz="0" w:space="0" w:color="auto"/>
        <w:right w:val="none" w:sz="0" w:space="0" w:color="auto"/>
      </w:divBdr>
      <w:divsChild>
        <w:div w:id="925070916">
          <w:marLeft w:val="0"/>
          <w:marRight w:val="0"/>
          <w:marTop w:val="0"/>
          <w:marBottom w:val="0"/>
          <w:divBdr>
            <w:top w:val="none" w:sz="0" w:space="0" w:color="auto"/>
            <w:left w:val="none" w:sz="0" w:space="0" w:color="auto"/>
            <w:bottom w:val="none" w:sz="0" w:space="0" w:color="auto"/>
            <w:right w:val="none" w:sz="0" w:space="0" w:color="auto"/>
          </w:divBdr>
          <w:divsChild>
            <w:div w:id="1045716429">
              <w:marLeft w:val="0"/>
              <w:marRight w:val="0"/>
              <w:marTop w:val="0"/>
              <w:marBottom w:val="150"/>
              <w:divBdr>
                <w:top w:val="none" w:sz="0" w:space="0" w:color="auto"/>
                <w:left w:val="none" w:sz="0" w:space="0" w:color="auto"/>
                <w:bottom w:val="none" w:sz="0" w:space="0" w:color="auto"/>
                <w:right w:val="none" w:sz="0" w:space="0" w:color="auto"/>
              </w:divBdr>
              <w:divsChild>
                <w:div w:id="523372269">
                  <w:marLeft w:val="0"/>
                  <w:marRight w:val="0"/>
                  <w:marTop w:val="0"/>
                  <w:marBottom w:val="0"/>
                  <w:divBdr>
                    <w:top w:val="none" w:sz="0" w:space="0" w:color="auto"/>
                    <w:left w:val="none" w:sz="0" w:space="0" w:color="auto"/>
                    <w:bottom w:val="none" w:sz="0" w:space="0" w:color="auto"/>
                    <w:right w:val="none" w:sz="0" w:space="0" w:color="auto"/>
                  </w:divBdr>
                  <w:divsChild>
                    <w:div w:id="1084303604">
                      <w:marLeft w:val="0"/>
                      <w:marRight w:val="0"/>
                      <w:marTop w:val="0"/>
                      <w:marBottom w:val="0"/>
                      <w:divBdr>
                        <w:top w:val="none" w:sz="0" w:space="0" w:color="auto"/>
                        <w:left w:val="none" w:sz="0" w:space="0" w:color="auto"/>
                        <w:bottom w:val="none" w:sz="0" w:space="0" w:color="auto"/>
                        <w:right w:val="none" w:sz="0" w:space="0" w:color="auto"/>
                      </w:divBdr>
                      <w:divsChild>
                        <w:div w:id="658116030">
                          <w:marLeft w:val="0"/>
                          <w:marRight w:val="0"/>
                          <w:marTop w:val="0"/>
                          <w:marBottom w:val="0"/>
                          <w:divBdr>
                            <w:top w:val="none" w:sz="0" w:space="0" w:color="auto"/>
                            <w:left w:val="none" w:sz="0" w:space="0" w:color="auto"/>
                            <w:bottom w:val="none" w:sz="0" w:space="0" w:color="auto"/>
                            <w:right w:val="none" w:sz="0" w:space="0" w:color="auto"/>
                          </w:divBdr>
                          <w:divsChild>
                            <w:div w:id="1007561292">
                              <w:marLeft w:val="0"/>
                              <w:marRight w:val="0"/>
                              <w:marTop w:val="0"/>
                              <w:marBottom w:val="0"/>
                              <w:divBdr>
                                <w:top w:val="none" w:sz="0" w:space="0" w:color="auto"/>
                                <w:left w:val="none" w:sz="0" w:space="0" w:color="auto"/>
                                <w:bottom w:val="none" w:sz="0" w:space="0" w:color="auto"/>
                                <w:right w:val="none" w:sz="0" w:space="0" w:color="auto"/>
                              </w:divBdr>
                              <w:divsChild>
                                <w:div w:id="1869639329">
                                  <w:marLeft w:val="0"/>
                                  <w:marRight w:val="-3600"/>
                                  <w:marTop w:val="150"/>
                                  <w:marBottom w:val="0"/>
                                  <w:divBdr>
                                    <w:top w:val="none" w:sz="0" w:space="0" w:color="auto"/>
                                    <w:left w:val="none" w:sz="0" w:space="0" w:color="auto"/>
                                    <w:bottom w:val="none" w:sz="0" w:space="0" w:color="auto"/>
                                    <w:right w:val="none" w:sz="0" w:space="0" w:color="auto"/>
                                  </w:divBdr>
                                  <w:divsChild>
                                    <w:div w:id="613252374">
                                      <w:marLeft w:val="0"/>
                                      <w:marRight w:val="3600"/>
                                      <w:marTop w:val="0"/>
                                      <w:marBottom w:val="0"/>
                                      <w:divBdr>
                                        <w:top w:val="none" w:sz="0" w:space="0" w:color="auto"/>
                                        <w:left w:val="none" w:sz="0" w:space="0" w:color="auto"/>
                                        <w:bottom w:val="none" w:sz="0" w:space="0" w:color="auto"/>
                                        <w:right w:val="none" w:sz="0" w:space="0" w:color="auto"/>
                                      </w:divBdr>
                                      <w:divsChild>
                                        <w:div w:id="1217857834">
                                          <w:marLeft w:val="0"/>
                                          <w:marRight w:val="0"/>
                                          <w:marTop w:val="0"/>
                                          <w:marBottom w:val="0"/>
                                          <w:divBdr>
                                            <w:top w:val="none" w:sz="0" w:space="0" w:color="auto"/>
                                            <w:left w:val="none" w:sz="0" w:space="0" w:color="auto"/>
                                            <w:bottom w:val="none" w:sz="0" w:space="0" w:color="auto"/>
                                            <w:right w:val="none" w:sz="0" w:space="0" w:color="auto"/>
                                          </w:divBdr>
                                          <w:divsChild>
                                            <w:div w:id="160825733">
                                              <w:marLeft w:val="0"/>
                                              <w:marRight w:val="0"/>
                                              <w:marTop w:val="0"/>
                                              <w:marBottom w:val="0"/>
                                              <w:divBdr>
                                                <w:top w:val="none" w:sz="0" w:space="0" w:color="auto"/>
                                                <w:left w:val="none" w:sz="0" w:space="0" w:color="auto"/>
                                                <w:bottom w:val="none" w:sz="0" w:space="0" w:color="auto"/>
                                                <w:right w:val="none" w:sz="0" w:space="0" w:color="auto"/>
                                              </w:divBdr>
                                              <w:divsChild>
                                                <w:div w:id="1639066857">
                                                  <w:marLeft w:val="0"/>
                                                  <w:marRight w:val="0"/>
                                                  <w:marTop w:val="0"/>
                                                  <w:marBottom w:val="0"/>
                                                  <w:divBdr>
                                                    <w:top w:val="none" w:sz="0" w:space="0" w:color="auto"/>
                                                    <w:left w:val="none" w:sz="0" w:space="0" w:color="auto"/>
                                                    <w:bottom w:val="none" w:sz="0" w:space="0" w:color="auto"/>
                                                    <w:right w:val="none" w:sz="0" w:space="0" w:color="auto"/>
                                                  </w:divBdr>
                                                  <w:divsChild>
                                                    <w:div w:id="1185023356">
                                                      <w:marLeft w:val="0"/>
                                                      <w:marRight w:val="0"/>
                                                      <w:marTop w:val="0"/>
                                                      <w:marBottom w:val="0"/>
                                                      <w:divBdr>
                                                        <w:top w:val="none" w:sz="0" w:space="0" w:color="auto"/>
                                                        <w:left w:val="none" w:sz="0" w:space="0" w:color="auto"/>
                                                        <w:bottom w:val="none" w:sz="0" w:space="0" w:color="auto"/>
                                                        <w:right w:val="none" w:sz="0" w:space="0" w:color="auto"/>
                                                      </w:divBdr>
                                                      <w:divsChild>
                                                        <w:div w:id="2257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2216199">
      <w:bodyDiv w:val="1"/>
      <w:marLeft w:val="0"/>
      <w:marRight w:val="0"/>
      <w:marTop w:val="0"/>
      <w:marBottom w:val="0"/>
      <w:divBdr>
        <w:top w:val="none" w:sz="0" w:space="0" w:color="auto"/>
        <w:left w:val="none" w:sz="0" w:space="0" w:color="auto"/>
        <w:bottom w:val="none" w:sz="0" w:space="0" w:color="auto"/>
        <w:right w:val="none" w:sz="0" w:space="0" w:color="auto"/>
      </w:divBdr>
    </w:div>
    <w:div w:id="851646467">
      <w:bodyDiv w:val="1"/>
      <w:marLeft w:val="0"/>
      <w:marRight w:val="0"/>
      <w:marTop w:val="0"/>
      <w:marBottom w:val="0"/>
      <w:divBdr>
        <w:top w:val="none" w:sz="0" w:space="0" w:color="auto"/>
        <w:left w:val="none" w:sz="0" w:space="0" w:color="auto"/>
        <w:bottom w:val="none" w:sz="0" w:space="0" w:color="auto"/>
        <w:right w:val="none" w:sz="0" w:space="0" w:color="auto"/>
      </w:divBdr>
    </w:div>
    <w:div w:id="959527497">
      <w:bodyDiv w:val="1"/>
      <w:marLeft w:val="0"/>
      <w:marRight w:val="0"/>
      <w:marTop w:val="0"/>
      <w:marBottom w:val="0"/>
      <w:divBdr>
        <w:top w:val="none" w:sz="0" w:space="0" w:color="auto"/>
        <w:left w:val="none" w:sz="0" w:space="0" w:color="auto"/>
        <w:bottom w:val="none" w:sz="0" w:space="0" w:color="auto"/>
        <w:right w:val="none" w:sz="0" w:space="0" w:color="auto"/>
      </w:divBdr>
    </w:div>
    <w:div w:id="1288898998">
      <w:bodyDiv w:val="1"/>
      <w:marLeft w:val="0"/>
      <w:marRight w:val="0"/>
      <w:marTop w:val="0"/>
      <w:marBottom w:val="0"/>
      <w:divBdr>
        <w:top w:val="none" w:sz="0" w:space="0" w:color="auto"/>
        <w:left w:val="none" w:sz="0" w:space="0" w:color="auto"/>
        <w:bottom w:val="none" w:sz="0" w:space="0" w:color="auto"/>
        <w:right w:val="none" w:sz="0" w:space="0" w:color="auto"/>
      </w:divBdr>
    </w:div>
    <w:div w:id="1289629956">
      <w:bodyDiv w:val="1"/>
      <w:marLeft w:val="0"/>
      <w:marRight w:val="0"/>
      <w:marTop w:val="0"/>
      <w:marBottom w:val="0"/>
      <w:divBdr>
        <w:top w:val="none" w:sz="0" w:space="0" w:color="auto"/>
        <w:left w:val="none" w:sz="0" w:space="0" w:color="auto"/>
        <w:bottom w:val="none" w:sz="0" w:space="0" w:color="auto"/>
        <w:right w:val="none" w:sz="0" w:space="0" w:color="auto"/>
      </w:divBdr>
    </w:div>
    <w:div w:id="1401826888">
      <w:bodyDiv w:val="1"/>
      <w:marLeft w:val="0"/>
      <w:marRight w:val="0"/>
      <w:marTop w:val="0"/>
      <w:marBottom w:val="0"/>
      <w:divBdr>
        <w:top w:val="none" w:sz="0" w:space="0" w:color="auto"/>
        <w:left w:val="none" w:sz="0" w:space="0" w:color="auto"/>
        <w:bottom w:val="none" w:sz="0" w:space="0" w:color="auto"/>
        <w:right w:val="none" w:sz="0" w:space="0" w:color="auto"/>
      </w:divBdr>
    </w:div>
    <w:div w:id="1421876515">
      <w:bodyDiv w:val="1"/>
      <w:marLeft w:val="0"/>
      <w:marRight w:val="0"/>
      <w:marTop w:val="0"/>
      <w:marBottom w:val="0"/>
      <w:divBdr>
        <w:top w:val="none" w:sz="0" w:space="0" w:color="auto"/>
        <w:left w:val="none" w:sz="0" w:space="0" w:color="auto"/>
        <w:bottom w:val="none" w:sz="0" w:space="0" w:color="auto"/>
        <w:right w:val="none" w:sz="0" w:space="0" w:color="auto"/>
      </w:divBdr>
    </w:div>
    <w:div w:id="1492410671">
      <w:bodyDiv w:val="1"/>
      <w:marLeft w:val="0"/>
      <w:marRight w:val="0"/>
      <w:marTop w:val="0"/>
      <w:marBottom w:val="0"/>
      <w:divBdr>
        <w:top w:val="none" w:sz="0" w:space="0" w:color="auto"/>
        <w:left w:val="none" w:sz="0" w:space="0" w:color="auto"/>
        <w:bottom w:val="none" w:sz="0" w:space="0" w:color="auto"/>
        <w:right w:val="none" w:sz="0" w:space="0" w:color="auto"/>
      </w:divBdr>
    </w:div>
    <w:div w:id="1497569790">
      <w:bodyDiv w:val="1"/>
      <w:marLeft w:val="0"/>
      <w:marRight w:val="0"/>
      <w:marTop w:val="0"/>
      <w:marBottom w:val="0"/>
      <w:divBdr>
        <w:top w:val="none" w:sz="0" w:space="0" w:color="auto"/>
        <w:left w:val="none" w:sz="0" w:space="0" w:color="auto"/>
        <w:bottom w:val="none" w:sz="0" w:space="0" w:color="auto"/>
        <w:right w:val="none" w:sz="0" w:space="0" w:color="auto"/>
      </w:divBdr>
    </w:div>
    <w:div w:id="1666784108">
      <w:bodyDiv w:val="1"/>
      <w:marLeft w:val="0"/>
      <w:marRight w:val="0"/>
      <w:marTop w:val="0"/>
      <w:marBottom w:val="0"/>
      <w:divBdr>
        <w:top w:val="none" w:sz="0" w:space="0" w:color="auto"/>
        <w:left w:val="none" w:sz="0" w:space="0" w:color="auto"/>
        <w:bottom w:val="none" w:sz="0" w:space="0" w:color="auto"/>
        <w:right w:val="none" w:sz="0" w:space="0" w:color="auto"/>
      </w:divBdr>
    </w:div>
    <w:div w:id="1670937829">
      <w:bodyDiv w:val="1"/>
      <w:marLeft w:val="0"/>
      <w:marRight w:val="0"/>
      <w:marTop w:val="0"/>
      <w:marBottom w:val="0"/>
      <w:divBdr>
        <w:top w:val="none" w:sz="0" w:space="0" w:color="auto"/>
        <w:left w:val="none" w:sz="0" w:space="0" w:color="auto"/>
        <w:bottom w:val="none" w:sz="0" w:space="0" w:color="auto"/>
        <w:right w:val="none" w:sz="0" w:space="0" w:color="auto"/>
      </w:divBdr>
    </w:div>
    <w:div w:id="1682274143">
      <w:bodyDiv w:val="1"/>
      <w:marLeft w:val="0"/>
      <w:marRight w:val="0"/>
      <w:marTop w:val="0"/>
      <w:marBottom w:val="0"/>
      <w:divBdr>
        <w:top w:val="none" w:sz="0" w:space="0" w:color="auto"/>
        <w:left w:val="none" w:sz="0" w:space="0" w:color="auto"/>
        <w:bottom w:val="none" w:sz="0" w:space="0" w:color="auto"/>
        <w:right w:val="none" w:sz="0" w:space="0" w:color="auto"/>
      </w:divBdr>
    </w:div>
    <w:div w:id="1885679991">
      <w:bodyDiv w:val="1"/>
      <w:marLeft w:val="0"/>
      <w:marRight w:val="0"/>
      <w:marTop w:val="0"/>
      <w:marBottom w:val="0"/>
      <w:divBdr>
        <w:top w:val="none" w:sz="0" w:space="0" w:color="auto"/>
        <w:left w:val="none" w:sz="0" w:space="0" w:color="auto"/>
        <w:bottom w:val="none" w:sz="0" w:space="0" w:color="auto"/>
        <w:right w:val="none" w:sz="0" w:space="0" w:color="auto"/>
      </w:divBdr>
    </w:div>
    <w:div w:id="1967928440">
      <w:bodyDiv w:val="1"/>
      <w:marLeft w:val="0"/>
      <w:marRight w:val="0"/>
      <w:marTop w:val="0"/>
      <w:marBottom w:val="0"/>
      <w:divBdr>
        <w:top w:val="none" w:sz="0" w:space="0" w:color="auto"/>
        <w:left w:val="none" w:sz="0" w:space="0" w:color="auto"/>
        <w:bottom w:val="none" w:sz="0" w:space="0" w:color="auto"/>
        <w:right w:val="none" w:sz="0" w:space="0" w:color="auto"/>
      </w:divBdr>
    </w:div>
    <w:div w:id="2006937688">
      <w:bodyDiv w:val="1"/>
      <w:marLeft w:val="0"/>
      <w:marRight w:val="0"/>
      <w:marTop w:val="0"/>
      <w:marBottom w:val="0"/>
      <w:divBdr>
        <w:top w:val="none" w:sz="0" w:space="0" w:color="auto"/>
        <w:left w:val="none" w:sz="0" w:space="0" w:color="auto"/>
        <w:bottom w:val="none" w:sz="0" w:space="0" w:color="auto"/>
        <w:right w:val="none" w:sz="0" w:space="0" w:color="auto"/>
      </w:divBdr>
    </w:div>
    <w:div w:id="2108889570">
      <w:bodyDiv w:val="1"/>
      <w:marLeft w:val="0"/>
      <w:marRight w:val="0"/>
      <w:marTop w:val="0"/>
      <w:marBottom w:val="0"/>
      <w:divBdr>
        <w:top w:val="none" w:sz="0" w:space="0" w:color="auto"/>
        <w:left w:val="none" w:sz="0" w:space="0" w:color="auto"/>
        <w:bottom w:val="none" w:sz="0" w:space="0" w:color="auto"/>
        <w:right w:val="none" w:sz="0" w:space="0" w:color="auto"/>
      </w:divBdr>
    </w:div>
    <w:div w:id="213772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97ABE-F1B9-48E4-B377-5B8A266E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1334</Words>
  <Characters>7605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Agenda for the 55th Plenary Meeting of the CLRG</vt:lpstr>
    </vt:vector>
  </TitlesOfParts>
  <Company>Department of Enterprise, Trade and Employment</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the 55th Plenary Meeting of the CLRG</dc:title>
  <dc:subject/>
  <dc:creator>Department of Enterprise, Trade and Employment</dc:creator>
  <cp:keywords/>
  <dc:description/>
  <cp:lastModifiedBy>Tara Keane</cp:lastModifiedBy>
  <cp:revision>2</cp:revision>
  <cp:lastPrinted>2019-10-04T16:06:00Z</cp:lastPrinted>
  <dcterms:created xsi:type="dcterms:W3CDTF">2020-11-05T14:04:00Z</dcterms:created>
  <dcterms:modified xsi:type="dcterms:W3CDTF">2020-11-05T14:04:00Z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-1234940601</vt:i4>
  </property>
</Properties>
</file>